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r>
        <w:rPr>
          <w:rFonts w:ascii="Arial" w:cs="Arial" w:eastAsia="Arial" w:hAnsi="Arial"/>
          <w:b/>
          <w:bCs/>
          <w:color w:val="1E3A5F"/>
          <w:spacing w:val="80"/>
          <w:sz w:val="48"/>
          <w:szCs w:val="48"/>
        </w:rPr>
        <w:t xml:space="preserve">PROJECT AEGIS</w:t>
      </w:r>
    </w:p>
    <w:p>
      <w:pPr>
        <w:spacing w:after="80" w:before="0"/>
      </w:pPr>
      <w:r>
        <w:rPr>
          <w:rFonts w:ascii="Arial" w:cs="Arial" w:eastAsia="Arial" w:hAnsi="Arial"/>
          <w:b/>
          <w:bCs/>
          <w:color w:val="2C5F8A"/>
          <w:sz w:val="36"/>
          <w:szCs w:val="36"/>
        </w:rPr>
        <w:t xml:space="preserve">UX/UI Design Brief</w:t>
      </w:r>
    </w:p>
    <w:p>
      <w:pPr>
        <w:spacing w:after="40" w:before="0"/>
      </w:pPr>
      <w:r>
        <w:rPr>
          <w:rFonts w:ascii="Arial" w:cs="Arial" w:eastAsia="Arial" w:hAnsi="Arial"/>
          <w:color w:val="475569"/>
          <w:sz w:val="24"/>
          <w:szCs w:val="24"/>
        </w:rPr>
        <w:t xml:space="preserve">Prescriptive KPI &amp; Performance Dashboard</w:t>
      </w:r>
    </w:p>
    <w:p>
      <w:pPr>
        <w:spacing w:after="600" w:before="0"/>
      </w:pPr>
      <w:r>
        <w:rPr>
          <w:rFonts w:ascii="Arial" w:cs="Arial" w:eastAsia="Arial" w:hAnsi="Arial"/>
          <w:color w:val="94A3B8"/>
          <w:sz w:val="20"/>
          <w:szCs w:val="20"/>
        </w:rPr>
        <w:t xml:space="preserve">v1.0  |  May 2026  |  Smita Harding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506"/>
        <w:gridCol w:w="2506"/>
        <w:gridCol w:w="2008"/>
      </w:tblGrid>
      <w:tr>
        <w:trPr>
          <w:tblHeader/>
        </w:trPr>
        <w:tc>
          <w:tcPr>
            <w:tcW w:type="dxa" w:w="200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250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250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2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200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UX/UI Design Brief</w:t>
            </w:r>
          </w:p>
        </w:tc>
        <w:tc>
          <w:tcPr>
            <w:tcW w:type="dxa" w:w="250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v1.0</w:t>
            </w:r>
          </w:p>
        </w:tc>
        <w:tc>
          <w:tcPr>
            <w:tcW w:type="dxa" w:w="250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Final</w:t>
            </w:r>
          </w:p>
        </w:tc>
        <w:tc>
          <w:tcPr>
            <w:tcW w:type="dxa" w:w="2008"/>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Smita Harding</w:t>
            </w:r>
          </w:p>
        </w:tc>
      </w:tr>
    </w:tbl>
    <w:p>
      <w:pPr>
        <w:spacing w:after="0" w:before="240"/>
      </w:pPr>
      <w:r>
        <w:rPr>
          <w:rFonts w:ascii="Arial" w:cs="Arial" w:eastAsia="Arial" w:hAnsi="Arial"/>
          <w:i/>
          <w:iCs/>
          <w:color w:val="94A3B8"/>
          <w:sz w:val="18"/>
          <w:szCs w:val="18"/>
        </w:rPr>
        <w:t xml:space="preserve">Related documents: PRD v2.0 | TRD v1.0 | Page Flow v1.0</w:t>
      </w:r>
    </w:p>
    <w:p>
      <w:pPr>
        <w:pageBreakBefore/>
      </w:pPr>
    </w:p>
    <w:p>
      <w:pPr>
        <w:pStyle w:val="Heading1"/>
        <w:spacing w:after="120" w:before="280"/>
      </w:pPr>
      <w:r>
        <w:rPr>
          <w:rFonts w:ascii="Arial" w:cs="Arial" w:eastAsia="Arial" w:hAnsi="Arial"/>
          <w:b/>
          <w:bCs/>
          <w:color w:val="1E3A5F"/>
          <w:sz w:val="28"/>
          <w:szCs w:val="28"/>
        </w:rPr>
        <w:t xml:space="preserve">1. Design Philosophy &amp; Rationale</w:t>
      </w:r>
    </w:p>
    <w:p>
      <w:pPr>
        <w:spacing w:after="80" w:before="60"/>
        <w:jc w:val="left"/>
      </w:pPr>
      <w:r>
        <w:rPr>
          <w:rFonts w:ascii="Arial" w:cs="Arial" w:eastAsia="Arial" w:hAnsi="Arial"/>
          <w:b w:val="false"/>
          <w:bCs w:val="false"/>
          <w:i w:val="false"/>
          <w:iCs w:val="false"/>
          <w:color w:val="475569"/>
          <w:sz w:val="20"/>
          <w:szCs w:val="20"/>
        </w:rPr>
        <w:t xml:space="preserve">Project Aegis is an executive-facing operational governance tool. The interface must communicate authority, clarity, and precision — not just present data. Every design decision is made to serve a senior audience who needs to reach a judgement quickly and act confidently on what they see.</w:t>
      </w:r>
    </w:p>
    <w:p>
      <w:pPr>
        <w:pStyle w:val="Heading2"/>
        <w:spacing w:after="80" w:before="220"/>
      </w:pPr>
      <w:r>
        <w:rPr>
          <w:rFonts w:ascii="Arial" w:cs="Arial" w:eastAsia="Arial" w:hAnsi="Arial"/>
          <w:b/>
          <w:bCs/>
          <w:color w:val="2C5F8A"/>
          <w:sz w:val="22"/>
          <w:szCs w:val="22"/>
        </w:rPr>
        <w:t xml:space="preserve">1.1  From Dark to Light</w:t>
      </w:r>
    </w:p>
    <w:p>
      <w:pPr>
        <w:spacing w:after="60" w:before="60"/>
        <w:jc w:val="left"/>
      </w:pPr>
      <w:r>
        <w:rPr>
          <w:rFonts w:ascii="Arial" w:cs="Arial" w:eastAsia="Arial" w:hAnsi="Arial"/>
          <w:b w:val="false"/>
          <w:bCs w:val="false"/>
          <w:i w:val="false"/>
          <w:iCs w:val="false"/>
          <w:color w:val="475569"/>
          <w:sz w:val="20"/>
          <w:szCs w:val="20"/>
        </w:rPr>
        <w:t xml:space="preserve">The v1.0 prototype used a dark canvas inherited from developer tooling conventions. v3.0 migrates to a structured light theme for three reasons:</w:t>
      </w:r>
    </w:p>
    <w:p>
      <w:pPr>
        <w:pStyle w:val="ListParagraph"/>
        <w:numPr>
          <w:ilvl w:val="0"/>
          <w:numId w:val="2"/>
        </w:numPr>
        <w:spacing w:after="40" w:before="40"/>
      </w:pPr>
      <w:r>
        <w:rPr>
          <w:rFonts w:ascii="Arial" w:cs="Arial" w:eastAsia="Arial" w:hAnsi="Arial"/>
          <w:color w:val="475569"/>
          <w:sz w:val="20"/>
          <w:szCs w:val="20"/>
        </w:rPr>
        <w:t xml:space="preserve">Readability in boardroom and office lighting — dark interfaces strain comprehension in bright rooms where executive reviews take place.</w:t>
      </w:r>
    </w:p>
    <w:p>
      <w:pPr>
        <w:pStyle w:val="ListParagraph"/>
        <w:numPr>
          <w:ilvl w:val="0"/>
          <w:numId w:val="2"/>
        </w:numPr>
        <w:spacing w:after="40" w:before="40"/>
      </w:pPr>
      <w:r>
        <w:rPr>
          <w:rFonts w:ascii="Arial" w:cs="Arial" w:eastAsia="Arial" w:hAnsi="Arial"/>
          <w:color w:val="475569"/>
          <w:sz w:val="20"/>
          <w:szCs w:val="20"/>
        </w:rPr>
        <w:t xml:space="preserve">Signal-to-noise ratio — a white canvas gives coloured status indicators (red, orange, green) their full semantic weight. On a dark canvas they compete with background luminance.</w:t>
      </w:r>
    </w:p>
    <w:p>
      <w:pPr>
        <w:pStyle w:val="ListParagraph"/>
        <w:numPr>
          <w:ilvl w:val="0"/>
          <w:numId w:val="2"/>
        </w:numPr>
        <w:spacing w:after="40" w:before="40"/>
      </w:pPr>
      <w:r>
        <w:rPr>
          <w:rFonts w:ascii="Arial" w:cs="Arial" w:eastAsia="Arial" w:hAnsi="Arial"/>
          <w:color w:val="475569"/>
          <w:sz w:val="20"/>
          <w:szCs w:val="20"/>
        </w:rPr>
        <w:t xml:space="preserve">Portfolio credibility — light theme enterprise dashboards are the dominant convention in B2B SaaS (Salesforce, Tableau, Power BI). The design must be legible in a PDF screenshot submitted with a job application.</w:t>
      </w:r>
    </w:p>
    <w:p>
      <w:pPr>
        <w:pStyle w:val="Heading2"/>
        <w:spacing w:after="80" w:before="220"/>
      </w:pPr>
      <w:r>
        <w:rPr>
          <w:rFonts w:ascii="Arial" w:cs="Arial" w:eastAsia="Arial" w:hAnsi="Arial"/>
          <w:b/>
          <w:bCs/>
          <w:color w:val="2C5F8A"/>
          <w:sz w:val="22"/>
          <w:szCs w:val="22"/>
        </w:rPr>
        <w:t xml:space="preserve">1.2  Core Principles</w:t>
      </w:r>
    </w:p>
    <w:p>
      <w:pPr>
        <w:pStyle w:val="ListParagraph"/>
        <w:numPr>
          <w:ilvl w:val="0"/>
          <w:numId w:val="2"/>
        </w:numPr>
        <w:spacing w:after="40" w:before="40"/>
      </w:pPr>
      <w:r>
        <w:rPr>
          <w:rFonts w:ascii="Arial" w:cs="Arial" w:eastAsia="Arial" w:hAnsi="Arial"/>
          <w:color w:val="475569"/>
          <w:sz w:val="20"/>
          <w:szCs w:val="20"/>
        </w:rPr>
        <w:t xml:space="preserve">Information hierarchy first. The most important number on the page — the KPI value — is the largest element in each card.</w:t>
      </w:r>
    </w:p>
    <w:p>
      <w:pPr>
        <w:pStyle w:val="ListParagraph"/>
        <w:numPr>
          <w:ilvl w:val="0"/>
          <w:numId w:val="2"/>
        </w:numPr>
        <w:spacing w:after="40" w:before="40"/>
      </w:pPr>
      <w:r>
        <w:rPr>
          <w:rFonts w:ascii="Arial" w:cs="Arial" w:eastAsia="Arial" w:hAnsi="Arial"/>
          <w:color w:val="475569"/>
          <w:sz w:val="20"/>
          <w:szCs w:val="20"/>
        </w:rPr>
        <w:t xml:space="preserve">Colour carries meaning, not decoration. Red, orange, and green are reserved exclusively for status signals. No other UI element uses these colours.</w:t>
      </w:r>
    </w:p>
    <w:p>
      <w:pPr>
        <w:pStyle w:val="ListParagraph"/>
        <w:numPr>
          <w:ilvl w:val="0"/>
          <w:numId w:val="2"/>
        </w:numPr>
        <w:spacing w:after="40" w:before="40"/>
      </w:pPr>
      <w:r>
        <w:rPr>
          <w:rFonts w:ascii="Arial" w:cs="Arial" w:eastAsia="Arial" w:hAnsi="Arial"/>
          <w:color w:val="475569"/>
          <w:sz w:val="20"/>
          <w:szCs w:val="20"/>
        </w:rPr>
        <w:t xml:space="preserve">Density without clutter. Eight metrics in Tab 2 at a comfortable reading size. No scrolling required on a standard 1440px wide display.</w:t>
      </w:r>
    </w:p>
    <w:p>
      <w:pPr>
        <w:pStyle w:val="ListParagraph"/>
        <w:numPr>
          <w:ilvl w:val="0"/>
          <w:numId w:val="2"/>
        </w:numPr>
        <w:spacing w:after="40" w:before="40"/>
      </w:pPr>
      <w:r>
        <w:rPr>
          <w:rFonts w:ascii="Arial" w:cs="Arial" w:eastAsia="Arial" w:hAnsi="Arial"/>
          <w:color w:val="475569"/>
          <w:sz w:val="20"/>
          <w:szCs w:val="20"/>
        </w:rPr>
        <w:t xml:space="preserve">Progressive disclosure. The AI section is always visible but requires explicit intent to activate. Operational context (notes, breach list) is always shown alongside AI output.</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2. Colour System</w:t>
      </w:r>
    </w:p>
    <w:p>
      <w:pPr>
        <w:spacing w:after="60" w:before="60"/>
        <w:jc w:val="left"/>
      </w:pPr>
      <w:r>
        <w:rPr>
          <w:rFonts w:ascii="Arial" w:cs="Arial" w:eastAsia="Arial" w:hAnsi="Arial"/>
          <w:b w:val="false"/>
          <w:bCs w:val="false"/>
          <w:i w:val="false"/>
          <w:iCs w:val="false"/>
          <w:color w:val="475569"/>
          <w:sz w:val="20"/>
          <w:szCs w:val="20"/>
        </w:rPr>
        <w:t xml:space="preserve">All colour values are defined as a token set. No colour is hardcoded in the application without a corresponding token entry below.</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426"/>
      </w:tblGrid>
      <w:tr>
        <w:trPr>
          <w:tblHeader/>
        </w:trP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Token</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Hex Value</w:t>
            </w:r>
          </w:p>
        </w:tc>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Usage</w:t>
            </w:r>
          </w:p>
        </w:tc>
        <w:tc>
          <w:tcPr>
            <w:tcW w:type="dxa" w:w="34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Applied to</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Canvas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#F8F9FA</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Background</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 background, chart plot area</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 bg</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#FFFFFF</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Surface</w:t>
            </w:r>
          </w:p>
        </w:tc>
        <w:tc>
          <w:tcPr>
            <w:tcW w:type="dxa" w:w="34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cards, chart area, AI panels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 border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#E2E8F0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Boundary</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 borders, grid lines, dividers</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(primary text)</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#1E293B</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w:t>
            </w:r>
          </w:p>
        </w:tc>
        <w:tc>
          <w:tcPr>
            <w:tcW w:type="dxa" w:w="34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Headings, KPI values, body text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Slate (secondary text)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#64748B</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Secondary</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Delta labels, body copy, captions</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Muted (tertiary text)</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#94A3B8</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Tertiary</w:t>
            </w:r>
          </w:p>
        </w:tc>
        <w:tc>
          <w:tcPr>
            <w:tcW w:type="dxa" w:w="34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 labels, SLA footers, section headers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 dot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#DC2626</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Critical</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dot, delta (bad), status banner border</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Warning dot</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#EA580C</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Warning</w:t>
            </w:r>
          </w:p>
        </w:tc>
        <w:tc>
          <w:tcPr>
            <w:tcW w:type="dxa" w:w="34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dot, delta (caution), status banner border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On-target dot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#16A34A</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OK</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dot, delta (good), status banner border</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Delta neutral</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#D97706</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Amber</w:t>
            </w:r>
          </w:p>
        </w:tc>
        <w:tc>
          <w:tcPr>
            <w:tcW w:type="dxa" w:w="34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Invoice volume delta (no directional target)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Brand blue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#2C5F8A</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Brand</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chart line, link accents</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Executive Copilot</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#7C3AED</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persona</w:t>
            </w:r>
          </w:p>
        </w:tc>
        <w:tc>
          <w:tcPr>
            <w:tcW w:type="dxa" w:w="34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Executive Copilot pill tab, summary card border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Operations Copilot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#059669</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persona</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Operations Copilot pill tab, summary card border</w:t>
            </w:r>
          </w:p>
        </w:tc>
      </w:tr>
    </w:tbl>
    <w:p>
      <w:pPr>
        <w:spacing w:after="60" w:before="100"/>
        <w:jc w:val="left"/>
      </w:pPr>
      <w:r>
        <w:rPr>
          <w:rFonts w:ascii="Arial" w:cs="Arial" w:eastAsia="Arial" w:hAnsi="Arial"/>
          <w:b w:val="false"/>
          <w:bCs w:val="false"/>
          <w:i/>
          <w:iCs/>
          <w:color w:val="94A3B8"/>
          <w:sz w:val="20"/>
          <w:szCs w:val="20"/>
        </w:rPr>
        <w:t xml:space="preserve">Colour must never be the sole means of conveying status. Every coloured dot is accompanied by a text label (Critical / Warning / On target).</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3.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Size</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 / Style</w:t>
            </w:r>
          </w:p>
        </w:tc>
        <w:tc>
          <w:tcPr>
            <w:tcW w:type="dxa" w:w="3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 token</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 heading</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15px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Bold</w:t>
            </w:r>
          </w:p>
        </w:tc>
        <w:tc>
          <w:tcPr>
            <w:tcW w:type="dxa" w:w="3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#1E293B</w:t>
            </w:r>
          </w:p>
        </w:tc>
      </w:tr>
      <w:tr>
        <w:tc>
          <w:tcPr>
            <w:tcW w:type="dxa" w:w="2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 subtitle</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13px</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w:t>
            </w:r>
          </w:p>
        </w:tc>
        <w:tc>
          <w:tcPr>
            <w:tcW w:type="dxa" w:w="3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Muted #94A3B8</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 label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13px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 / 600 (active)</w:t>
            </w:r>
          </w:p>
        </w:tc>
        <w:tc>
          <w:tcPr>
            <w:tcW w:type="dxa" w:w="3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Slate / Charcoal (active)</w:t>
            </w:r>
          </w:p>
        </w:tc>
      </w:tr>
      <w:tr>
        <w:tc>
          <w:tcPr>
            <w:tcW w:type="dxa" w:w="2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Section header (caps)</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11px</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600, uppercase, +0.06em tracking</w:t>
            </w:r>
          </w:p>
        </w:tc>
        <w:tc>
          <w:tcPr>
            <w:tcW w:type="dxa" w:w="3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Muted #94A3B8</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card label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10px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 uppercase, +0.06em</w:t>
            </w:r>
          </w:p>
        </w:tc>
        <w:tc>
          <w:tcPr>
            <w:tcW w:type="dxa" w:w="3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Muted #94A3B8</w:t>
            </w:r>
          </w:p>
        </w:tc>
      </w:tr>
      <w:tr>
        <w:tc>
          <w:tcPr>
            <w:tcW w:type="dxa" w:w="2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card value</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28px</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 (medium)</w:t>
            </w:r>
          </w:p>
        </w:tc>
        <w:tc>
          <w:tcPr>
            <w:tcW w:type="dxa" w:w="3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#1E293B</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delta</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11px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w:t>
            </w:r>
          </w:p>
        </w:tc>
        <w:tc>
          <w:tcPr>
            <w:tcW w:type="dxa" w:w="3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 / On-target / Neutral (conditional)</w:t>
            </w:r>
          </w:p>
        </w:tc>
      </w:tr>
      <w:tr>
        <w:tc>
          <w:tcPr>
            <w:tcW w:type="dxa" w:w="2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text</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11px</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w:t>
            </w:r>
          </w:p>
        </w:tc>
        <w:tc>
          <w:tcPr>
            <w:tcW w:type="dxa" w:w="3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Slate #64748B</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footer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10px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w:t>
            </w:r>
          </w:p>
        </w:tc>
        <w:tc>
          <w:tcPr>
            <w:tcW w:type="dxa" w:w="3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Muted #94A3B8</w:t>
            </w:r>
          </w:p>
        </w:tc>
      </w:tr>
      <w:tr>
        <w:tc>
          <w:tcPr>
            <w:tcW w:type="dxa" w:w="2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Chart axis labels</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11px</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Regular</w:t>
            </w:r>
          </w:p>
        </w:tc>
        <w:tc>
          <w:tcPr>
            <w:tcW w:type="dxa" w:w="3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#1E293B</w:t>
            </w:r>
          </w:p>
        </w:tc>
      </w:tr>
      <w:tr>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summary body</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14px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Italic</w:t>
            </w:r>
          </w:p>
        </w:tc>
        <w:tc>
          <w:tcPr>
            <w:tcW w:type="dxa" w:w="3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#1E293B</w:t>
            </w:r>
          </w:p>
        </w:tc>
      </w:tr>
      <w:tr>
        <w:tc>
          <w:tcPr>
            <w:tcW w:type="dxa" w:w="2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Intervention title</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14px</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600</w:t>
            </w:r>
          </w:p>
        </w:tc>
        <w:tc>
          <w:tcPr>
            <w:tcW w:type="dxa" w:w="3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#1E293B</w:t>
            </w:r>
          </w:p>
        </w:tc>
      </w:tr>
    </w:tbl>
    <w:p>
      <w:pPr>
        <w:spacing w:after="60" w:before="100"/>
        <w:jc w:val="left"/>
      </w:pPr>
      <w:r>
        <w:rPr>
          <w:rFonts w:ascii="Arial" w:cs="Arial" w:eastAsia="Arial" w:hAnsi="Arial"/>
          <w:b w:val="false"/>
          <w:bCs w:val="false"/>
          <w:i/>
          <w:iCs/>
          <w:color w:val="94A3B8"/>
          <w:sz w:val="20"/>
          <w:szCs w:val="20"/>
        </w:rPr>
        <w:t xml:space="preserve">Font family: Arial throughout. System-safe, universally supported across all operating systems and Streamlit environments. Line height: 1.65 for body prose, 1.1 for large KPI values.</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4. KPI Card Anatomy</w:t>
      </w:r>
    </w:p>
    <w:p>
      <w:pPr>
        <w:spacing w:after="60" w:before="60"/>
        <w:jc w:val="left"/>
      </w:pPr>
      <w:r>
        <w:rPr>
          <w:rFonts w:ascii="Arial" w:cs="Arial" w:eastAsia="Arial" w:hAnsi="Arial"/>
          <w:b w:val="false"/>
          <w:bCs w:val="false"/>
          <w:i w:val="false"/>
          <w:iCs w:val="false"/>
          <w:color w:val="475569"/>
          <w:sz w:val="20"/>
          <w:szCs w:val="20"/>
        </w:rPr>
        <w:t xml:space="preserve">Each KPI is rendered as a white card with a 5-line vertical stack. Every element occupies its own line with 5px gap between lines. The card uses flex-column layout to ensure consistent spacing regardless of value length.</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4126"/>
      </w:tblGrid>
      <w:tr>
        <w:trPr>
          <w:tblHeader/>
        </w:trPr>
        <w:tc>
          <w:tcPr>
            <w:tcW w:type="dxa" w:w="7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Line</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Style</w:t>
            </w:r>
          </w:p>
        </w:tc>
        <w:tc>
          <w:tcPr>
            <w:tcW w:type="dxa" w:w="41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Metric label</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10px uppercase muted</w:t>
            </w:r>
          </w:p>
        </w:tc>
        <w:tc>
          <w:tcPr>
            <w:tcW w:type="dxa" w:w="41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 ACCURACY</w:t>
            </w:r>
          </w:p>
        </w:tc>
      </w:tr>
      <w:tr>
        <w:tc>
          <w:tcPr>
            <w:tcW w:type="dxa" w:w="7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value</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28px medium charcoal</w:t>
            </w:r>
          </w:p>
        </w:tc>
        <w:tc>
          <w:tcPr>
            <w:tcW w:type="dxa" w:w="41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97.4%</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WoW delta</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11px slate, directional colour</w:t>
            </w:r>
          </w:p>
        </w:tc>
        <w:tc>
          <w:tcPr>
            <w:tcW w:type="dxa" w:w="41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+20 bps vs prior week</w:t>
            </w:r>
          </w:p>
        </w:tc>
      </w:tr>
      <w:tr>
        <w:tc>
          <w:tcPr>
            <w:tcW w:type="dxa" w:w="7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dot + label</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7px dot + 11px slate text</w:t>
            </w:r>
          </w:p>
        </w:tc>
        <w:tc>
          <w:tcPr>
            <w:tcW w:type="dxa" w:w="41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On target  (green dot)</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footer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10px muted</w:t>
            </w:r>
          </w:p>
        </w:tc>
        <w:tc>
          <w:tcPr>
            <w:tcW w:type="dxa" w:w="41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&gt;= 97%</w:t>
            </w:r>
          </w:p>
        </w:tc>
      </w:tr>
    </w:tbl>
    <w:p>
      <w:pPr>
        <w:spacing w:after="6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8"/>
              <w:left w:val="single" w:color="2C5F8A" w:sz="8"/>
              <w:bottom w:val="single" w:color="E2E8F0" w:sz="1"/>
              <w:right w:val="single" w:color="E2E8F0" w:sz="1"/>
            </w:tcBorders>
            <w:shd w:fill="EAF2F8" w:val="clear"/>
            <w:tcMar>
              <w:top w:type="dxa" w:w="120"/>
              <w:left w:type="dxa" w:w="180"/>
              <w:bottom w:type="dxa" w:w="120"/>
              <w:right w:type="dxa" w:w="180"/>
            </w:tcMar>
          </w:tcPr>
          <w:p>
            <w:pPr>
              <w:spacing w:after="40" w:before="40"/>
            </w:pPr>
            <w:r>
              <w:rPr>
                <w:rFonts w:ascii="Arial" w:cs="Arial" w:eastAsia="Arial" w:hAnsi="Arial"/>
                <w:color w:val="1E3A5F"/>
                <w:sz w:val="19"/>
                <w:szCs w:val="19"/>
              </w:rPr>
              <w:t xml:space="preserve">Design rationale: Metric value (Line 2) is the largest element on the card, making it</w:t>
            </w:r>
          </w:p>
          <w:p>
            <w:pPr>
              <w:spacing w:after="40" w:before="40"/>
            </w:pPr>
            <w:r>
              <w:rPr>
                <w:rFonts w:ascii="Arial" w:cs="Arial" w:eastAsia="Arial" w:hAnsi="Arial"/>
                <w:color w:val="1E3A5F"/>
                <w:sz w:val="19"/>
                <w:szCs w:val="19"/>
              </w:rPr>
              <w:t xml:space="preserve">immediately readable at a glance. Status meaning is communicated by Line 4 (dot + text),</w:t>
            </w:r>
          </w:p>
          <w:p>
            <w:pPr>
              <w:spacing w:after="40" w:before="40"/>
            </w:pPr>
            <w:r>
              <w:rPr>
                <w:rFonts w:ascii="Arial" w:cs="Arial" w:eastAsia="Arial" w:hAnsi="Arial"/>
                <w:color w:val="1E3A5F"/>
                <w:sz w:val="19"/>
                <w:szCs w:val="19"/>
              </w:rPr>
              <w:t xml:space="preserve">never by colouring the value itself. This avoids the accessibility problem of relying on colour</w:t>
            </w:r>
          </w:p>
          <w:p>
            <w:pPr>
              <w:spacing w:after="40" w:before="40"/>
            </w:pPr>
            <w:r>
              <w:rPr>
                <w:rFonts w:ascii="Arial" w:cs="Arial" w:eastAsia="Arial" w:hAnsi="Arial"/>
                <w:color w:val="1E3A5F"/>
                <w:sz w:val="19"/>
                <w:szCs w:val="19"/>
              </w:rPr>
              <w:t xml:space="preserve">alone for critical information, and prevents the visual noise of a grid of red and green numbers.</w:t>
            </w:r>
          </w:p>
        </w:tc>
      </w:tr>
    </w:tbl>
    <w:p>
      <w:pPr>
        <w:spacing w:after="60" w:before="120"/>
      </w:pPr>
    </w:p>
    <w:p>
      <w:pPr>
        <w:pStyle w:val="Heading2"/>
        <w:spacing w:after="80" w:before="220"/>
      </w:pPr>
      <w:r>
        <w:rPr>
          <w:rFonts w:ascii="Arial" w:cs="Arial" w:eastAsia="Arial" w:hAnsi="Arial"/>
          <w:b/>
          <w:bCs/>
          <w:color w:val="2C5F8A"/>
          <w:sz w:val="22"/>
          <w:szCs w:val="22"/>
        </w:rPr>
        <w:t xml:space="preserve">4.1  Card Layout — Tab 1</w:t>
      </w:r>
    </w:p>
    <w:p>
      <w:pPr>
        <w:spacing w:after="60" w:before="60"/>
        <w:jc w:val="left"/>
      </w:pPr>
      <w:r>
        <w:rPr>
          <w:rFonts w:ascii="Arial" w:cs="Arial" w:eastAsia="Arial" w:hAnsi="Arial"/>
          <w:b w:val="false"/>
          <w:bCs w:val="false"/>
          <w:i w:val="false"/>
          <w:iCs w:val="false"/>
          <w:color w:val="475569"/>
          <w:sz w:val="20"/>
          <w:szCs w:val="20"/>
        </w:rPr>
        <w:t xml:space="preserve">Four KPI cards rendered in a single row of four equal columns. Cards: SLA Breach Count | Payment Accuracy | Dispute Rate | Invoice Volume.</w:t>
      </w:r>
    </w:p>
    <w:p>
      <w:pPr>
        <w:pStyle w:val="Heading2"/>
        <w:spacing w:after="80" w:before="220"/>
      </w:pPr>
      <w:r>
        <w:rPr>
          <w:rFonts w:ascii="Arial" w:cs="Arial" w:eastAsia="Arial" w:hAnsi="Arial"/>
          <w:b/>
          <w:bCs/>
          <w:color w:val="2C5F8A"/>
          <w:sz w:val="22"/>
          <w:szCs w:val="22"/>
        </w:rPr>
        <w:t xml:space="preserve">4.2  Card Layout — Tab 2</w:t>
      </w:r>
    </w:p>
    <w:p>
      <w:pPr>
        <w:spacing w:after="60" w:before="60"/>
        <w:jc w:val="left"/>
      </w:pPr>
      <w:r>
        <w:rPr>
          <w:rFonts w:ascii="Arial" w:cs="Arial" w:eastAsia="Arial" w:hAnsi="Arial"/>
          <w:b w:val="false"/>
          <w:bCs w:val="false"/>
          <w:i w:val="false"/>
          <w:iCs w:val="false"/>
          <w:color w:val="475569"/>
          <w:sz w:val="20"/>
          <w:szCs w:val="20"/>
        </w:rPr>
        <w:t xml:space="preserve">Eight KPI cards across two rows. Row 1 (four columns): First-Pass Resolution | Processing Cycle Time | Invoice Exception Rate | Invoice Exception Count. Row 2 (four columns): Stuck Invoice Count | Dispute Resolution Rate | Manual Processing Hours | Open Dispute Count.</w:t>
      </w:r>
    </w:p>
    <w:p>
      <w:pPr>
        <w:spacing w:after="60" w:before="60"/>
        <w:jc w:val="left"/>
      </w:pPr>
      <w:r>
        <w:rPr>
          <w:rFonts w:ascii="Arial" w:cs="Arial" w:eastAsia="Arial" w:hAnsi="Arial"/>
          <w:b w:val="false"/>
          <w:bCs w:val="false"/>
          <w:i/>
          <w:iCs/>
          <w:color w:val="94A3B8"/>
          <w:sz w:val="20"/>
          <w:szCs w:val="20"/>
        </w:rPr>
        <w:t xml:space="preserve">Invoice Exception Count is a derived metric calculated as: round(invoice_exception_rate / 100 x invoice_volume). It is presented alongside Invoice Exception Rate to give operations teams an absolute magnitude alongside the percentage. Open Dispute Count is a volume tracker card (no SLA target) displaying the raw count of disputed invoices this week. It is presented alongside Dispute Resolution Rate to pair volume context with resolution velocity. Card status indicator: grey “Tracking” dot — no traffic light colouring applied.</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5. Status Indicator System</w:t>
      </w:r>
    </w:p>
    <w:p>
      <w:pPr>
        <w:pStyle w:val="Heading2"/>
        <w:spacing w:after="80" w:before="220"/>
      </w:pPr>
      <w:r>
        <w:rPr>
          <w:rFonts w:ascii="Arial" w:cs="Arial" w:eastAsia="Arial" w:hAnsi="Arial"/>
          <w:b/>
          <w:bCs/>
          <w:color w:val="2C5F8A"/>
          <w:sz w:val="22"/>
          <w:szCs w:val="22"/>
        </w:rPr>
        <w:t xml:space="preserve">5.1  Traffic Light Logic</w:t>
      </w:r>
    </w:p>
    <w:p>
      <w:pPr>
        <w:spacing w:after="60" w:before="60"/>
        <w:jc w:val="left"/>
      </w:pPr>
      <w:r>
        <w:rPr>
          <w:rFonts w:ascii="Arial" w:cs="Arial" w:eastAsia="Arial" w:hAnsi="Arial"/>
          <w:b w:val="false"/>
          <w:bCs w:val="false"/>
          <w:i w:val="false"/>
          <w:iCs w:val="false"/>
          <w:color w:val="475569"/>
          <w:sz w:val="20"/>
          <w:szCs w:val="20"/>
        </w:rPr>
        <w:t xml:space="preserve">Three status states are used across the dashboard. The mapping from metric value to status is determined at render time by the anomaly detection engine output (detect_anomalies.py).</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026"/>
      </w:tblGrid>
      <w:tr>
        <w:trPr>
          <w:tblHeader/>
        </w:trPr>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Dot colour</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Hex</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condition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 target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Green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#16A34A</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Metric within SLA target</w:t>
            </w:r>
          </w:p>
        </w:tc>
      </w:tr>
      <w:tr>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Warning</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8"/>
                <w:szCs w:val="18"/>
              </w:rPr>
              <w:t xml:space="preserve">Orange</w:t>
            </w:r>
          </w:p>
        </w:tc>
        <w:tc>
          <w:tcPr>
            <w:tcW w:type="dxa" w:w="16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#EA580C</w:t>
            </w:r>
          </w:p>
        </w:tc>
        <w:tc>
          <w:tcPr>
            <w:tcW w:type="dxa" w:w="40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breached but below CRITICAL threshold</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DC2626"/>
                <w:sz w:val="18"/>
                <w:szCs w:val="18"/>
              </w:rPr>
              <w:t xml:space="preserve">Red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#DC2626</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Metric exceeds CRITICAL threshold (see TRD Section 5)</w:t>
            </w:r>
          </w:p>
        </w:tc>
      </w:tr>
    </w:tbl>
    <w:p>
      <w:pPr>
        <w:pStyle w:val="Heading2"/>
        <w:spacing w:after="80" w:before="220"/>
      </w:pPr>
      <w:r>
        <w:rPr>
          <w:rFonts w:ascii="Arial" w:cs="Arial" w:eastAsia="Arial" w:hAnsi="Arial"/>
          <w:b/>
          <w:bCs/>
          <w:color w:val="2C5F8A"/>
          <w:sz w:val="22"/>
          <w:szCs w:val="22"/>
        </w:rPr>
        <w:t xml:space="preserve">5.2  Status Banner</w:t>
      </w:r>
    </w:p>
    <w:p>
      <w:pPr>
        <w:spacing w:after="60" w:before="60"/>
        <w:jc w:val="left"/>
      </w:pPr>
      <w:r>
        <w:rPr>
          <w:rFonts w:ascii="Arial" w:cs="Arial" w:eastAsia="Arial" w:hAnsi="Arial"/>
          <w:b w:val="false"/>
          <w:bCs w:val="false"/>
          <w:i w:val="false"/>
          <w:iCs w:val="false"/>
          <w:color w:val="475569"/>
          <w:sz w:val="20"/>
          <w:szCs w:val="20"/>
        </w:rPr>
        <w:t xml:space="preserve">A full-width banner at the top of the main content area communicates the overall week status. The banner is a white card with a 4px solid left border in the traffic light colour for that week. It replaces dark gradient banners from v1.0.</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Week state</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Left border</w:t>
            </w:r>
          </w:p>
        </w:tc>
        <w:tc>
          <w:tcPr>
            <w:tcW w:type="dxa" w:w="5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Banner content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clear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#16A34A green</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ALL CLEAR · All KPIs within SLA targets · Week in focus: YYYY-WNN</w:t>
            </w:r>
          </w:p>
        </w:tc>
      </w:tr>
      <w:tr>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Warning</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#EA580C orange</w:t>
            </w:r>
          </w:p>
        </w:tc>
        <w:tc>
          <w:tcPr>
            <w:tcW w:type="dxa" w:w="50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WARNING · N breach(es) detected · Week in focus: YYYY-WNN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#DC2626 red</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CRITICAL · N breach(es) detected · Week in focus: YYYY-WNN</w:t>
            </w:r>
          </w:p>
        </w:tc>
      </w:tr>
    </w:tbl>
    <w:p>
      <w:pPr>
        <w:pStyle w:val="Heading2"/>
        <w:spacing w:after="80" w:before="220"/>
      </w:pPr>
      <w:r>
        <w:rPr>
          <w:rFonts w:ascii="Arial" w:cs="Arial" w:eastAsia="Arial" w:hAnsi="Arial"/>
          <w:b/>
          <w:bCs/>
          <w:color w:val="2C5F8A"/>
          <w:sz w:val="22"/>
          <w:szCs w:val="22"/>
        </w:rPr>
        <w:t xml:space="preserve">5.3  Week Selector Status Prefix</w:t>
      </w:r>
    </w:p>
    <w:p>
      <w:pPr>
        <w:spacing w:after="60" w:before="60"/>
        <w:jc w:val="left"/>
      </w:pPr>
      <w:r>
        <w:rPr>
          <w:rFonts w:ascii="Arial" w:cs="Arial" w:eastAsia="Arial" w:hAnsi="Arial"/>
          <w:b w:val="false"/>
          <w:bCs w:val="false"/>
          <w:i w:val="false"/>
          <w:iCs w:val="false"/>
          <w:color w:val="475569"/>
          <w:sz w:val="20"/>
          <w:szCs w:val="20"/>
        </w:rPr>
        <w:t xml:space="preserve">The sidebar week selector uses emoji prefixes so status is visible without opening a week: 🔴 = CRITICAL, 🟡 = WARNING, ✅ = all clear. The selector defaults to the most recent week on load.</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6. Navigation &amp; Tab Structure</w:t>
      </w:r>
    </w:p>
    <w:p>
      <w:pPr>
        <w:pStyle w:val="Heading2"/>
        <w:spacing w:after="80" w:before="220"/>
      </w:pPr>
      <w:r>
        <w:rPr>
          <w:rFonts w:ascii="Arial" w:cs="Arial" w:eastAsia="Arial" w:hAnsi="Arial"/>
          <w:b/>
          <w:bCs/>
          <w:color w:val="2C5F8A"/>
          <w:sz w:val="22"/>
          <w:szCs w:val="22"/>
        </w:rPr>
        <w:t xml:space="preserve">6.1  Main Tabs</w:t>
      </w:r>
    </w:p>
    <w:p>
      <w:pPr>
        <w:spacing w:after="60" w:before="60"/>
        <w:jc w:val="left"/>
      </w:pPr>
      <w:r>
        <w:rPr>
          <w:rFonts w:ascii="Arial" w:cs="Arial" w:eastAsia="Arial" w:hAnsi="Arial"/>
          <w:b w:val="false"/>
          <w:bCs w:val="false"/>
          <w:i w:val="false"/>
          <w:iCs w:val="false"/>
          <w:color w:val="475569"/>
          <w:sz w:val="20"/>
          <w:szCs w:val="20"/>
        </w:rPr>
        <w:t xml:space="preserve">Two main tabs divide the KPI set by stakeholder audience. Tab labels are sentence-case descriptive phrases, not abbreviations.</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rPr>
          <w:tblHeader/>
        </w:trP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 label</w:t>
            </w:r>
          </w:p>
        </w:tc>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Audience</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KPIs included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Strategic Risk &amp; Governance View</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VP / Exec</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Breach Count | Payment Accuracy | Dispute Rate | Invoice Volume</w:t>
            </w:r>
          </w:p>
        </w:tc>
      </w:tr>
      <w:tr>
        <w:tc>
          <w:tcPr>
            <w:tcW w:type="dxa" w:w="3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Excellence Delivery View</w:t>
            </w:r>
          </w:p>
        </w:tc>
        <w:tc>
          <w:tcPr>
            <w:tcW w:type="dxa" w:w="1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BPE / Ops</w:t>
            </w:r>
          </w:p>
        </w:tc>
        <w:tc>
          <w:tcPr>
            <w:tcW w:type="dxa" w:w="40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First-Pass Resolution | Cycle Time | Exception Rate | Exception Count | Stuck Count | Dispute Resolution | Manual Hours | Open Dispute Count</w:t>
            </w:r>
          </w:p>
        </w:tc>
      </w:tr>
    </w:tbl>
    <w:p>
      <w:pPr>
        <w:pStyle w:val="Heading2"/>
        <w:spacing w:after="80" w:before="220"/>
      </w:pPr>
      <w:r>
        <w:rPr>
          <w:rFonts w:ascii="Arial" w:cs="Arial" w:eastAsia="Arial" w:hAnsi="Arial"/>
          <w:b/>
          <w:bCs/>
          <w:color w:val="2C5F8A"/>
          <w:sz w:val="22"/>
          <w:szCs w:val="22"/>
        </w:rPr>
        <w:t xml:space="preserve">6.2  Pill Subtab Chart Navigation</w:t>
      </w:r>
    </w:p>
    <w:p>
      <w:pPr>
        <w:spacing w:after="60" w:before="60"/>
        <w:jc w:val="left"/>
      </w:pPr>
      <w:r>
        <w:rPr>
          <w:rFonts w:ascii="Arial" w:cs="Arial" w:eastAsia="Arial" w:hAnsi="Arial"/>
          <w:b w:val="false"/>
          <w:bCs w:val="false"/>
          <w:i w:val="false"/>
          <w:iCs w:val="false"/>
          <w:color w:val="475569"/>
          <w:sz w:val="20"/>
          <w:szCs w:val="20"/>
        </w:rPr>
        <w:t xml:space="preserve">Each tab contains a chart area card with three pill-style subtab buttons above a single full-width chart. Only one chart is shown at a time, controlled by Streamlit session state. This avoids the visual competition of three small side-by-side charts.</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w:t>
            </w:r>
          </w:p>
        </w:tc>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Pill labels</w:t>
            </w:r>
          </w:p>
        </w:tc>
        <w:tc>
          <w:tcPr>
            <w:tcW w:type="dxa" w:w="40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Chart type and metric</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Strategic Risk &amp; Governance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Breaches</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Bar chart — sla_breach_count, 12-week window</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Payment Accuracy</w:t>
            </w:r>
          </w:p>
        </w:tc>
        <w:tc>
          <w:tcPr>
            <w:tcW w:type="dxa" w:w="40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chart — payment_accuracy_rate, SLA reference at 97%</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Dispute Rate</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chart — dispute_rate, SLA reference at 3%</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Excellence Delivery</w:t>
            </w:r>
          </w:p>
        </w:tc>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First-Pass Rate</w:t>
            </w:r>
          </w:p>
        </w:tc>
        <w:tc>
          <w:tcPr>
            <w:tcW w:type="dxa" w:w="40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chart — first_pass_resolution, SLA reference at 95%</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Dispute Resolution</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chart — dispute_resolution_rate, SLA reference at 90%</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Processing Hours</w:t>
            </w:r>
          </w:p>
        </w:tc>
        <w:tc>
          <w:tcPr>
            <w:tcW w:type="dxa" w:w="40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Bar chart — manual_processing_hours, SLA reference at 200 hrs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Dispute Count</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Bar chart — dispute_count, no SLA line. Volume tracker. Colour #F59E0B (amber).</w:t>
            </w:r>
          </w:p>
        </w:tc>
      </w:tr>
    </w:tbl>
    <w:p>
      <w:pPr>
        <w:spacing w:after="60" w:before="60"/>
        <w:jc w:val="left"/>
      </w:pPr>
      <w:r>
        <w:rPr>
          <w:rFonts w:ascii="Arial" w:cs="Arial" w:eastAsia="Arial" w:hAnsi="Arial"/>
          <w:b w:val="false"/>
          <w:bCs w:val="false"/>
          <w:i w:val="false"/>
          <w:iCs w:val="false"/>
          <w:color w:val="475569"/>
          <w:sz w:val="20"/>
          <w:szCs w:val="20"/>
        </w:rPr>
        <w:t xml:space="preserve">Pill button states: Active = #1E293B background, #FFFFFF text, weight 600. Inactive = #F1F5F9 background, #64748B text, weight 400. Border-radius: 20px (fully rounded).</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7. Chart Design System</w:t>
      </w:r>
    </w:p>
    <w:p>
      <w:pPr>
        <w:pStyle w:val="Heading2"/>
        <w:spacing w:after="80" w:before="220"/>
      </w:pPr>
      <w:r>
        <w:rPr>
          <w:rFonts w:ascii="Arial" w:cs="Arial" w:eastAsia="Arial" w:hAnsi="Arial"/>
          <w:b/>
          <w:bCs/>
          <w:color w:val="2C5F8A"/>
          <w:sz w:val="22"/>
          <w:szCs w:val="22"/>
        </w:rPr>
        <w:t xml:space="preserve">7.1  Chart Theme</w:t>
      </w:r>
    </w:p>
    <w:p>
      <w:pPr>
        <w:spacing w:after="60" w:before="60"/>
        <w:jc w:val="left"/>
      </w:pPr>
      <w:r>
        <w:rPr>
          <w:rFonts w:ascii="Arial" w:cs="Arial" w:eastAsia="Arial" w:hAnsi="Arial"/>
          <w:b w:val="false"/>
          <w:bCs w:val="false"/>
          <w:i w:val="false"/>
          <w:iCs w:val="false"/>
          <w:color w:val="475569"/>
          <w:sz w:val="20"/>
          <w:szCs w:val="20"/>
        </w:rPr>
        <w:t xml:space="preserve">All charts use a light Plotly theme consistent with the page canvas. Chart backgrounds match the card and page background so charts appear as integrated data surfaces rather than embedded objects with different backgrounds.</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Chart property</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Plot background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#F8F9FA</w:t>
            </w:r>
          </w:p>
        </w:tc>
        <w:tc>
          <w:tcPr>
            <w:tcW w:type="dxa" w:w="4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Matches page canvas</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Paper background</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#F8F9FA</w:t>
            </w:r>
          </w:p>
        </w:tc>
        <w:tc>
          <w:tcPr>
            <w:tcW w:type="dxa" w:w="4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Matches page canvas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Font colour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#1E293B</w:t>
            </w:r>
          </w:p>
        </w:tc>
        <w:tc>
          <w:tcPr>
            <w:tcW w:type="dxa" w:w="4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Charcoal — matches primary text</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Grid lines</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#E2E8F0</w:t>
            </w:r>
          </w:p>
        </w:tc>
        <w:tc>
          <w:tcPr>
            <w:tcW w:type="dxa" w:w="4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Matches card borders — light and non-distracting</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Axis lines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#E2E8F0</w:t>
            </w:r>
          </w:p>
        </w:tc>
        <w:tc>
          <w:tcPr>
            <w:tcW w:type="dxa" w:w="4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as grid lines</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line/bar colour</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#3B82F6</w:t>
            </w:r>
          </w:p>
        </w:tc>
        <w:tc>
          <w:tcPr>
            <w:tcW w:type="dxa" w:w="4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 — neutral, non-status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reference line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#DC2626 dashed</w:t>
            </w:r>
          </w:p>
        </w:tc>
        <w:tc>
          <w:tcPr>
            <w:tcW w:type="dxa" w:w="4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dashed — consistent with Critical status colour</w:t>
            </w:r>
          </w:p>
        </w:tc>
      </w:tr>
      <w:tr>
        <w:tc>
          <w:tcPr>
            <w:tcW w:type="dxa" w:w="28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Chart height</w:t>
            </w:r>
          </w:p>
        </w:tc>
        <w:tc>
          <w:tcPr>
            <w:tcW w:type="dxa" w:w="20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320px</w:t>
            </w:r>
          </w:p>
        </w:tc>
        <w:tc>
          <w:tcPr>
            <w:tcW w:type="dxa" w:w="4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Full-width single chart; consistent across all pills</w:t>
            </w:r>
          </w:p>
        </w:tc>
      </w:tr>
    </w:tbl>
    <w:p>
      <w:pPr>
        <w:pStyle w:val="Heading2"/>
        <w:spacing w:after="80" w:before="220"/>
      </w:pPr>
      <w:r>
        <w:rPr>
          <w:rFonts w:ascii="Arial" w:cs="Arial" w:eastAsia="Arial" w:hAnsi="Arial"/>
          <w:b/>
          <w:bCs/>
          <w:color w:val="2C5F8A"/>
          <w:sz w:val="22"/>
          <w:szCs w:val="22"/>
        </w:rPr>
        <w:t xml:space="preserve">7.2  Data Point Colouring</w:t>
      </w:r>
    </w:p>
    <w:p>
      <w:pPr>
        <w:spacing w:after="60" w:before="60"/>
        <w:jc w:val="left"/>
      </w:pPr>
      <w:r>
        <w:rPr>
          <w:rFonts w:ascii="Arial" w:cs="Arial" w:eastAsia="Arial" w:hAnsi="Arial"/>
          <w:b w:val="false"/>
          <w:bCs w:val="false"/>
          <w:i w:val="false"/>
          <w:iCs w:val="false"/>
          <w:color w:val="475569"/>
          <w:sz w:val="20"/>
          <w:szCs w:val="20"/>
        </w:rPr>
        <w:t xml:space="preserve">Individual data points on line and bar charts are coloured by the anomaly status of that week. This gives the trend chart a temporal status dimension: you can see at a glance which historic weeks were problematic.</w:t>
      </w:r>
    </w:p>
    <w:p>
      <w:pPr>
        <w:pStyle w:val="ListParagraph"/>
        <w:numPr>
          <w:ilvl w:val="0"/>
          <w:numId w:val="2"/>
        </w:numPr>
        <w:spacing w:after="40" w:before="40"/>
      </w:pPr>
      <w:r>
        <w:rPr>
          <w:rFonts w:ascii="Arial" w:cs="Arial" w:eastAsia="Arial" w:hAnsi="Arial"/>
          <w:color w:val="475569"/>
          <w:sz w:val="20"/>
          <w:szCs w:val="20"/>
        </w:rPr>
        <w:t xml:space="preserve">Critical week marker: #DC2626 red</w:t>
      </w:r>
    </w:p>
    <w:p>
      <w:pPr>
        <w:pStyle w:val="ListParagraph"/>
        <w:numPr>
          <w:ilvl w:val="0"/>
          <w:numId w:val="2"/>
        </w:numPr>
        <w:spacing w:after="40" w:before="40"/>
      </w:pPr>
      <w:r>
        <w:rPr>
          <w:rFonts w:ascii="Arial" w:cs="Arial" w:eastAsia="Arial" w:hAnsi="Arial"/>
          <w:color w:val="475569"/>
          <w:sz w:val="20"/>
          <w:szCs w:val="20"/>
        </w:rPr>
        <w:t xml:space="preserve">Warning week marker: #EA580C orange</w:t>
      </w:r>
    </w:p>
    <w:p>
      <w:pPr>
        <w:pStyle w:val="ListParagraph"/>
        <w:numPr>
          <w:ilvl w:val="0"/>
          <w:numId w:val="2"/>
        </w:numPr>
        <w:spacing w:after="40" w:before="40"/>
      </w:pPr>
      <w:r>
        <w:rPr>
          <w:rFonts w:ascii="Arial" w:cs="Arial" w:eastAsia="Arial" w:hAnsi="Arial"/>
          <w:color w:val="475569"/>
          <w:sz w:val="20"/>
          <w:szCs w:val="20"/>
        </w:rPr>
        <w:t xml:space="preserve">Default marker: inherits chart line/bar colour (#3B82F6 or series colour)</w:t>
      </w:r>
    </w:p>
    <w:p>
      <w:pPr>
        <w:pStyle w:val="Heading2"/>
        <w:spacing w:after="80" w:before="220"/>
      </w:pPr>
      <w:r>
        <w:rPr>
          <w:rFonts w:ascii="Arial" w:cs="Arial" w:eastAsia="Arial" w:hAnsi="Arial"/>
          <w:b/>
          <w:bCs/>
          <w:color w:val="2C5F8A"/>
          <w:sz w:val="22"/>
          <w:szCs w:val="22"/>
        </w:rPr>
        <w:t xml:space="preserve">7.3  Chart Window</w:t>
      </w:r>
    </w:p>
    <w:p>
      <w:pPr>
        <w:spacing w:after="60" w:before="60"/>
        <w:jc w:val="left"/>
      </w:pPr>
      <w:r>
        <w:rPr>
          <w:rFonts w:ascii="Arial" w:cs="Arial" w:eastAsia="Arial" w:hAnsi="Arial"/>
          <w:b w:val="false"/>
          <w:bCs w:val="false"/>
          <w:i w:val="false"/>
          <w:iCs w:val="false"/>
          <w:color w:val="475569"/>
          <w:sz w:val="20"/>
          <w:szCs w:val="20"/>
        </w:rPr>
        <w:t xml:space="preserve">Charts display the 12 weeks ending at the selected week. This gives a rolling quarterly view with the selected week always as the rightmost data point. The window slides as the user changes the week selector.</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8. Sidebar Design</w:t>
      </w:r>
    </w:p>
    <w:p>
      <w:pPr>
        <w:spacing w:after="60" w:before="60"/>
        <w:jc w:val="left"/>
      </w:pPr>
      <w:r>
        <w:rPr>
          <w:rFonts w:ascii="Arial" w:cs="Arial" w:eastAsia="Arial" w:hAnsi="Arial"/>
          <w:b w:val="false"/>
          <w:bCs w:val="false"/>
          <w:i w:val="false"/>
          <w:iCs w:val="false"/>
          <w:color w:val="475569"/>
          <w:sz w:val="20"/>
          <w:szCs w:val="20"/>
        </w:rPr>
        <w:t xml:space="preserve">The sidebar is 192px wide with a white background and a 0.5px right border (#E2E8F0). It contains five zones in order from top to bottom.</w:t>
      </w:r>
    </w:p>
    <w:p>
      <w:pPr>
        <w:spacing w:after="8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rPr>
          <w:tblHeader/>
        </w:trPr>
        <w:tc>
          <w:tcPr>
            <w:tcW w:type="dxa" w:w="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Zone</w:t>
            </w:r>
          </w:p>
        </w:tc>
        <w:tc>
          <w:tcPr>
            <w:tcW w:type="dxa" w:w="62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 &amp; behaviour</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Identity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 Aegis heading (18px bold charcoal) + subtitle caption</w:t>
            </w:r>
          </w:p>
        </w:tc>
      </w:tr>
      <w:tr>
        <w:tc>
          <w:tcPr>
            <w:tcW w:type="dxa" w:w="4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4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Week selector</w:t>
            </w:r>
          </w:p>
        </w:tc>
        <w:tc>
          <w:tcPr>
            <w:tcW w:type="dxa" w:w="6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Selectbox with emoji status prefix. Defaults to most recent week.</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 AI button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 input for Claude API key. Primary-style 'Generate Executive Governance Briefing' button. Button is disabled if no anomaly or no API key, with contextual tooltip explaining why.</w:t>
            </w:r>
          </w:p>
        </w:tc>
      </w:tr>
      <w:tr>
        <w:tc>
          <w:tcPr>
            <w:tcW w:type="dxa" w:w="4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4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 reference</w:t>
            </w:r>
          </w:p>
        </w:tc>
        <w:tc>
          <w:tcPr>
            <w:tcW w:type="dxa" w:w="62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9-row table of KPI names and SLA targets. Each row has a CSS hover tooltip that displays a plain-English definition of what the metric measures. Tooltip text appears below the row in a dark card.</w:t>
            </w:r>
          </w:p>
        </w:tc>
      </w:tr>
    </w:tbl>
    <w:p>
      <w:pPr>
        <w:pStyle w:val="Heading2"/>
        <w:spacing w:after="80" w:before="220"/>
      </w:pPr>
      <w:r>
        <w:rPr>
          <w:rFonts w:ascii="Arial" w:cs="Arial" w:eastAsia="Arial" w:hAnsi="Arial"/>
          <w:b/>
          <w:bCs/>
          <w:color w:val="2C5F8A"/>
          <w:sz w:val="22"/>
          <w:szCs w:val="22"/>
        </w:rPr>
        <w:t xml:space="preserve">8.1  SLA Tooltip Behaviour</w:t>
      </w:r>
    </w:p>
    <w:p>
      <w:pPr>
        <w:spacing w:after="60" w:before="60"/>
        <w:jc w:val="left"/>
      </w:pPr>
      <w:r>
        <w:rPr>
          <w:rFonts w:ascii="Arial" w:cs="Arial" w:eastAsia="Arial" w:hAnsi="Arial"/>
          <w:b w:val="false"/>
          <w:bCs w:val="false"/>
          <w:i w:val="false"/>
          <w:iCs w:val="false"/>
          <w:color w:val="475569"/>
          <w:sz w:val="20"/>
          <w:szCs w:val="20"/>
        </w:rPr>
        <w:t xml:space="preserve">Hover tooltips are implemented in pure CSS using :hover with position:absolute. The tooltip card is 200px wide, dark background (#1E293B), white 11px text, 6px border-radius. Tooltips are contained within the sidebar column to avoid viewport overflow.</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9. AI Governance Agent Section</w:t>
      </w:r>
    </w:p>
    <w:p>
      <w:pPr>
        <w:pStyle w:val="Heading2"/>
        <w:spacing w:after="80" w:before="220"/>
      </w:pPr>
      <w:r>
        <w:rPr>
          <w:rFonts w:ascii="Arial" w:cs="Arial" w:eastAsia="Arial" w:hAnsi="Arial"/>
          <w:b/>
          <w:bCs/>
          <w:color w:val="2C5F8A"/>
          <w:sz w:val="22"/>
          <w:szCs w:val="22"/>
        </w:rPr>
        <w:t xml:space="preserve">9.1  Layout</w:t>
      </w:r>
    </w:p>
    <w:p>
      <w:pPr>
        <w:spacing w:after="60" w:before="60"/>
        <w:jc w:val="left"/>
      </w:pPr>
      <w:r>
        <w:rPr>
          <w:rFonts w:ascii="Arial" w:cs="Arial" w:eastAsia="Arial" w:hAnsi="Arial"/>
          <w:b w:val="false"/>
          <w:bCs w:val="false"/>
          <w:i w:val="false"/>
          <w:iCs w:val="false"/>
          <w:color w:val="475569"/>
          <w:sz w:val="20"/>
          <w:szCs w:val="20"/>
        </w:rPr>
        <w:t xml:space="preserve">The AI section is always rendered at the bottom of the page below a full-width divider. It uses a 40/60 column split: left panel (40%) contains contextual data; right panel (60%) contains AI output.</w:t>
      </w:r>
    </w:p>
    <w:p>
      <w:pPr>
        <w:pStyle w:val="Heading2"/>
        <w:spacing w:after="80" w:before="220"/>
      </w:pPr>
      <w:r>
        <w:rPr>
          <w:rFonts w:ascii="Arial" w:cs="Arial" w:eastAsia="Arial" w:hAnsi="Arial"/>
          <w:b/>
          <w:bCs/>
          <w:color w:val="2C5F8A"/>
          <w:sz w:val="22"/>
          <w:szCs w:val="22"/>
        </w:rPr>
        <w:t xml:space="preserve">9.2  Left Panel — Operational Context</w:t>
      </w:r>
    </w:p>
    <w:p>
      <w:pPr>
        <w:spacing w:after="60" w:before="60"/>
        <w:jc w:val="left"/>
      </w:pPr>
      <w:r>
        <w:rPr>
          <w:rFonts w:ascii="Arial" w:cs="Arial" w:eastAsia="Arial" w:hAnsi="Arial"/>
          <w:b w:val="false"/>
          <w:bCs w:val="false"/>
          <w:i w:val="false"/>
          <w:iCs w:val="false"/>
          <w:color w:val="475569"/>
          <w:sz w:val="20"/>
          <w:szCs w:val="20"/>
        </w:rPr>
        <w:t xml:space="preserve">Always visible regardless of anomaly status. Contains:</w:t>
      </w:r>
    </w:p>
    <w:p>
      <w:pPr>
        <w:pStyle w:val="ListParagraph"/>
        <w:numPr>
          <w:ilvl w:val="0"/>
          <w:numId w:val="2"/>
        </w:numPr>
        <w:spacing w:after="40" w:before="40"/>
      </w:pPr>
      <w:r>
        <w:rPr>
          <w:rFonts w:ascii="Arial" w:cs="Arial" w:eastAsia="Arial" w:hAnsi="Arial"/>
          <w:color w:val="475569"/>
          <w:sz w:val="20"/>
          <w:szCs w:val="20"/>
        </w:rPr>
        <w:t xml:space="preserve">Operational notes from the team log for the selected week.</w:t>
      </w:r>
    </w:p>
    <w:p>
      <w:pPr>
        <w:pStyle w:val="ListParagraph"/>
        <w:numPr>
          <w:ilvl w:val="0"/>
          <w:numId w:val="2"/>
        </w:numPr>
        <w:spacing w:after="40" w:before="40"/>
      </w:pPr>
      <w:r>
        <w:rPr>
          <w:rFonts w:ascii="Arial" w:cs="Arial" w:eastAsia="Arial" w:hAnsi="Arial"/>
          <w:color w:val="475569"/>
          <w:sz w:val="20"/>
          <w:szCs w:val="20"/>
        </w:rPr>
        <w:t xml:space="preserve">Breach list (if anomalies detected): each breach shown as a #F8F9FA card with a 3px coloured left border and breach detail text.</w:t>
      </w:r>
    </w:p>
    <w:p>
      <w:pPr>
        <w:pStyle w:val="ListParagraph"/>
        <w:numPr>
          <w:ilvl w:val="0"/>
          <w:numId w:val="2"/>
        </w:numPr>
        <w:spacing w:after="40" w:before="40"/>
      </w:pPr>
      <w:r>
        <w:rPr>
          <w:rFonts w:ascii="Arial" w:cs="Arial" w:eastAsia="Arial" w:hAnsi="Arial"/>
          <w:color w:val="475569"/>
          <w:sz w:val="20"/>
          <w:szCs w:val="20"/>
        </w:rPr>
        <w:t xml:space="preserve">If no anomaly: an all-clear message in a green-bordered card.</w:t>
      </w:r>
    </w:p>
    <w:p>
      <w:pPr>
        <w:pStyle w:val="Heading2"/>
        <w:spacing w:after="80" w:before="220"/>
      </w:pPr>
      <w:r>
        <w:rPr>
          <w:rFonts w:ascii="Arial" w:cs="Arial" w:eastAsia="Arial" w:hAnsi="Arial"/>
          <w:b/>
          <w:bCs/>
          <w:color w:val="2C5F8A"/>
          <w:sz w:val="22"/>
          <w:szCs w:val="22"/>
        </w:rPr>
        <w:t xml:space="preserve">9.3  Right Panel — AI Output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682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is shown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anomaly</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 checkmark card. 'All KPIs on target. Select a flagged week to activate.'</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API key</w:t>
            </w:r>
          </w:p>
        </w:tc>
        <w:tc>
          <w:tcPr>
            <w:tcW w:type="dxa" w:w="68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Dashed border card. Key icon. 'Enter your Claude API key in the sidebar to activate.'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Ready to run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Robot icon card. 'Press Generate Executive Governance Briefing in the sidebar.'</w:t>
            </w:r>
          </w:p>
        </w:tc>
      </w:tr>
      <w:tr>
        <w:tc>
          <w:tcPr>
            <w:tcW w:type="dxa" w:w="2200"/>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Loading</w:t>
            </w:r>
          </w:p>
        </w:tc>
        <w:tc>
          <w:tcPr>
            <w:tcW w:type="dxa" w:w="6826"/>
            <w:tcBorders>
              <w:top w:val="single" w:color="E2E8F0" w:sz="1"/>
              <w:left w:val="single" w:color="E2E8F0" w:sz="1"/>
              <w:bottom w:val="single" w:color="E2E8F0" w:sz="1"/>
              <w:right w:val="single" w:color="E2E8F0" w:sz="1"/>
            </w:tcBorders>
            <w:shd w:fill="EAF2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Streamlit spinner. 'Generating dual AI governance briefing...'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 cached</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 pill tabs rendered immediately from session state cache.</w:t>
            </w:r>
          </w:p>
        </w:tc>
      </w:tr>
    </w:tbl>
    <w:p>
      <w:pPr>
        <w:pStyle w:val="Heading2"/>
        <w:spacing w:after="80" w:before="220"/>
      </w:pPr>
      <w:r>
        <w:rPr>
          <w:rFonts w:ascii="Arial" w:cs="Arial" w:eastAsia="Arial" w:hAnsi="Arial"/>
          <w:b/>
          <w:bCs/>
          <w:color w:val="2C5F8A"/>
          <w:sz w:val="22"/>
          <w:szCs w:val="22"/>
        </w:rPr>
        <w:t xml:space="preserve">9.4  Persona Pill Tabs</w:t>
      </w:r>
    </w:p>
    <w:p>
      <w:pPr>
        <w:spacing w:after="60" w:before="60"/>
        <w:jc w:val="left"/>
      </w:pPr>
      <w:r>
        <w:rPr>
          <w:rFonts w:ascii="Arial" w:cs="Arial" w:eastAsia="Arial" w:hAnsi="Arial"/>
          <w:b w:val="false"/>
          <w:bCs w:val="false"/>
          <w:i w:val="false"/>
          <w:iCs w:val="false"/>
          <w:color w:val="475569"/>
          <w:sz w:val="20"/>
          <w:szCs w:val="20"/>
        </w:rPr>
        <w:t xml:space="preserve">Two Streamlit tabs within the right panel. Tab 1: Executive Copilot (purple #7C3AED). Tab 2: Operations Copilot (green #059669). Active tab label is coloured in the persona accent colour.</w:t>
      </w:r>
    </w:p>
    <w:p>
      <w:pPr>
        <w:pStyle w:val="Heading2"/>
        <w:spacing w:after="80" w:before="220"/>
      </w:pPr>
      <w:r>
        <w:rPr>
          <w:rFonts w:ascii="Arial" w:cs="Arial" w:eastAsia="Arial" w:hAnsi="Arial"/>
          <w:b/>
          <w:bCs/>
          <w:color w:val="2C5F8A"/>
          <w:sz w:val="22"/>
          <w:szCs w:val="22"/>
        </w:rPr>
        <w:t xml:space="preserve">9.5  AI Output Card Structure</w:t>
      </w:r>
    </w:p>
    <w:p>
      <w:pPr>
        <w:spacing w:after="60" w:before="60"/>
        <w:jc w:val="left"/>
      </w:pPr>
      <w:r>
        <w:rPr>
          <w:rFonts w:ascii="Arial" w:cs="Arial" w:eastAsia="Arial" w:hAnsi="Arial"/>
          <w:b w:val="false"/>
          <w:bCs w:val="false"/>
          <w:i w:val="false"/>
          <w:iCs w:val="false"/>
          <w:color w:val="475569"/>
          <w:sz w:val="20"/>
          <w:szCs w:val="20"/>
        </w:rPr>
        <w:t xml:space="preserve">Each persona output renders three card types in sequence:</w:t>
      </w:r>
    </w:p>
    <w:p>
      <w:pPr>
        <w:pStyle w:val="ListParagraph"/>
        <w:numPr>
          <w:ilvl w:val="0"/>
          <w:numId w:val="2"/>
        </w:numPr>
        <w:spacing w:after="40" w:before="40"/>
      </w:pPr>
      <w:r>
        <w:rPr>
          <w:rFonts w:ascii="Arial" w:cs="Arial" w:eastAsia="Arial" w:hAnsi="Arial"/>
          <w:color w:val="475569"/>
          <w:sz w:val="20"/>
          <w:szCs w:val="20"/>
        </w:rPr>
        <w:t xml:space="preserve">Executive summary card: light purple (#F5F3FF) background, 3px left border in persona accent, italic charcoal text.</w:t>
      </w:r>
    </w:p>
    <w:p>
      <w:pPr>
        <w:pStyle w:val="ListParagraph"/>
        <w:numPr>
          <w:ilvl w:val="0"/>
          <w:numId w:val="2"/>
        </w:numPr>
        <w:spacing w:after="40" w:before="40"/>
      </w:pPr>
      <w:r>
        <w:rPr>
          <w:rFonts w:ascii="Arial" w:cs="Arial" w:eastAsia="Arial" w:hAnsi="Arial"/>
          <w:color w:val="475569"/>
          <w:sz w:val="20"/>
          <w:szCs w:val="20"/>
        </w:rPr>
        <w:t xml:space="preserve">Three intervention cards: white background, 0.5px border, 3px left border in rotating accent (blue / green / amber). Contains title, Why, Action, and Impact lines.</w:t>
      </w:r>
    </w:p>
    <w:p>
      <w:pPr>
        <w:pStyle w:val="ListParagraph"/>
        <w:numPr>
          <w:ilvl w:val="0"/>
          <w:numId w:val="2"/>
        </w:numPr>
        <w:spacing w:after="40" w:before="40"/>
      </w:pPr>
      <w:r>
        <w:rPr>
          <w:rFonts w:ascii="Arial" w:cs="Arial" w:eastAsia="Arial" w:hAnsi="Arial"/>
          <w:color w:val="475569"/>
          <w:sz w:val="20"/>
          <w:szCs w:val="20"/>
        </w:rPr>
        <w:t xml:space="preserve">Risk if unaddressed card: #FEF2F2 background, #FECACA border, dark red text.</w:t>
      </w:r>
    </w:p>
    <w:p>
      <w:pPr>
        <w:pBdr>
          <w:bottom w:val="single" w:color="E2E8F0" w:sz="4" w:space="1"/>
        </w:pBdr>
        <w:spacing w:after="120" w:before="120"/>
      </w:pPr>
    </w:p>
    <w:p>
      <w:pPr>
        <w:pStyle w:val="Heading1"/>
        <w:spacing w:after="120" w:before="280"/>
      </w:pPr>
      <w:r>
        <w:rPr>
          <w:rFonts w:ascii="Arial" w:cs="Arial" w:eastAsia="Arial" w:hAnsi="Arial"/>
          <w:b/>
          <w:bCs/>
          <w:color w:val="1E3A5F"/>
          <w:sz w:val="28"/>
          <w:szCs w:val="28"/>
        </w:rPr>
        <w:t xml:space="preserve">10. Accessibility Notes</w:t>
      </w:r>
    </w:p>
    <w:p>
      <w:pPr>
        <w:spacing w:after="60" w:before="60"/>
        <w:jc w:val="left"/>
      </w:pPr>
      <w:r>
        <w:rPr>
          <w:rFonts w:ascii="Arial" w:cs="Arial" w:eastAsia="Arial" w:hAnsi="Arial"/>
          <w:b w:val="false"/>
          <w:bCs w:val="false"/>
          <w:i w:val="false"/>
          <w:iCs w:val="false"/>
          <w:color w:val="475569"/>
          <w:sz w:val="20"/>
          <w:szCs w:val="20"/>
        </w:rPr>
        <w:t xml:space="preserve">Project Aegis v3.0 implements the following accessibility considerations. Full WCAG 2.1 AA certification is not in scope for v1.0 but these baseline decisions reduce known barriers.</w:t>
      </w:r>
    </w:p>
    <w:p>
      <w:pPr>
        <w:pStyle w:val="Heading2"/>
        <w:spacing w:after="80" w:before="220"/>
      </w:pPr>
      <w:r>
        <w:rPr>
          <w:rFonts w:ascii="Arial" w:cs="Arial" w:eastAsia="Arial" w:hAnsi="Arial"/>
          <w:b/>
          <w:bCs/>
          <w:color w:val="2C5F8A"/>
          <w:sz w:val="22"/>
          <w:szCs w:val="22"/>
        </w:rPr>
        <w:t xml:space="preserve">10.1  Colour Independence</w:t>
      </w:r>
    </w:p>
    <w:p>
      <w:pPr>
        <w:spacing w:after="60" w:before="60"/>
        <w:jc w:val="left"/>
      </w:pPr>
      <w:r>
        <w:rPr>
          <w:rFonts w:ascii="Arial" w:cs="Arial" w:eastAsia="Arial" w:hAnsi="Arial"/>
          <w:b w:val="false"/>
          <w:bCs w:val="false"/>
          <w:i w:val="false"/>
          <w:iCs w:val="false"/>
          <w:color w:val="475569"/>
          <w:sz w:val="20"/>
          <w:szCs w:val="20"/>
        </w:rPr>
        <w:t xml:space="preserve">No information is conveyed by colour alone. Every traffic light dot is accompanied by a text label (Critical / Warning / On target). The status banner includes a text label in addition to the left border colour. Chart data points use size and position to encode data; colour is supplementary.</w:t>
      </w:r>
    </w:p>
    <w:p>
      <w:pPr>
        <w:pStyle w:val="Heading2"/>
        <w:spacing w:after="80" w:before="220"/>
      </w:pPr>
      <w:r>
        <w:rPr>
          <w:rFonts w:ascii="Arial" w:cs="Arial" w:eastAsia="Arial" w:hAnsi="Arial"/>
          <w:b/>
          <w:bCs/>
          <w:color w:val="2C5F8A"/>
          <w:sz w:val="22"/>
          <w:szCs w:val="22"/>
        </w:rPr>
        <w:t xml:space="preserve">10.2  Contrast Ratios</w:t>
      </w:r>
    </w:p>
    <w:p>
      <w:pPr>
        <w:spacing w:after="60" w:before="60"/>
        <w:jc w:val="left"/>
      </w:pPr>
      <w:r>
        <w:rPr>
          <w:rFonts w:ascii="Arial" w:cs="Arial" w:eastAsia="Arial" w:hAnsi="Arial"/>
          <w:b w:val="false"/>
          <w:bCs w:val="false"/>
          <w:i w:val="false"/>
          <w:iCs w:val="false"/>
          <w:color w:val="475569"/>
          <w:sz w:val="20"/>
          <w:szCs w:val="20"/>
        </w:rPr>
        <w:t xml:space="preserve">Primary text (#1E293B on #FFFFFF): 16.7:1 — exceeds WCAG AA (4.5:1) and AAA (7:1) thresholds. Secondary text (#64748B on #FFFFFF): 5.9:1 — exceeds WCAG AA. Muted text (#94A3B8 on #FFFFFF): 3.0:1 — below AA for small text; used only for non-critical labels (card labels, SLA footers). This is a known limitation deferred to v2.0.</w:t>
      </w:r>
    </w:p>
    <w:p>
      <w:pPr>
        <w:pStyle w:val="Heading2"/>
        <w:spacing w:after="80" w:before="220"/>
      </w:pPr>
      <w:r>
        <w:rPr>
          <w:rFonts w:ascii="Arial" w:cs="Arial" w:eastAsia="Arial" w:hAnsi="Arial"/>
          <w:b/>
          <w:bCs/>
          <w:color w:val="2C5F8A"/>
          <w:sz w:val="22"/>
          <w:szCs w:val="22"/>
        </w:rPr>
        <w:t xml:space="preserve">10.3  Tooltip Accessibility</w:t>
      </w:r>
    </w:p>
    <w:p>
      <w:pPr>
        <w:spacing w:after="60" w:before="60"/>
        <w:jc w:val="left"/>
      </w:pPr>
      <w:r>
        <w:rPr>
          <w:rFonts w:ascii="Arial" w:cs="Arial" w:eastAsia="Arial" w:hAnsi="Arial"/>
          <w:b w:val="false"/>
          <w:bCs w:val="false"/>
          <w:i w:val="false"/>
          <w:iCs w:val="false"/>
          <w:color w:val="475569"/>
          <w:sz w:val="20"/>
          <w:szCs w:val="20"/>
        </w:rPr>
        <w:t xml:space="preserve">SLA hover tooltips are CSS-only (:hover) and are not accessible to keyboard or screen reader users. This is a known limitation. v2.0 should implement tooltips using the Streamlit st.help parameter or aria-describedby attributes.</w:t>
      </w:r>
    </w:p>
    <w:p>
      <w:pPr>
        <w:pStyle w:val="Heading2"/>
        <w:spacing w:after="80" w:before="220"/>
      </w:pPr>
      <w:r>
        <w:rPr>
          <w:rFonts w:ascii="Arial" w:cs="Arial" w:eastAsia="Arial" w:hAnsi="Arial"/>
          <w:b/>
          <w:bCs/>
          <w:color w:val="2C5F8A"/>
          <w:sz w:val="22"/>
          <w:szCs w:val="22"/>
        </w:rPr>
        <w:t xml:space="preserve">10.4  Chart Accessibility</w:t>
      </w:r>
    </w:p>
    <w:p>
      <w:pPr>
        <w:spacing w:after="60" w:before="60"/>
        <w:jc w:val="left"/>
      </w:pPr>
      <w:r>
        <w:rPr>
          <w:rFonts w:ascii="Arial" w:cs="Arial" w:eastAsia="Arial" w:hAnsi="Arial"/>
          <w:b w:val="false"/>
          <w:bCs w:val="false"/>
          <w:i w:val="false"/>
          <w:iCs w:val="false"/>
          <w:color w:val="475569"/>
          <w:sz w:val="20"/>
          <w:szCs w:val="20"/>
        </w:rPr>
        <w:t xml:space="preserve">Plotly charts include hover tooltips with exact values. Chart title text is rendered in Plotly annotation text. Axis labels use charcoal (#1E293B) at 11px — the minimum recommended size for chart labels. SLA reference lines include annotation labels with the target value.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color w:val="94A3B8"/>
        <w:sz w:val="16"/>
        <w:szCs w:val="16"/>
      </w:rPr>
      <w:t xml:space="preserve">Project Aegis  |  UX/UI Design Brief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2026-05-23T08:42:12.095Z</dcterms:created>
  <dcterms:modified xsi:type="dcterms:W3CDTF">2026-05-23T08:42:12.096Z</dcterms:modified>
</cp:coreProperties>
</file>

<file path=docProps/custom.xml><?xml version="1.0" encoding="utf-8"?>
<Properties xmlns="http://schemas.openxmlformats.org/officeDocument/2006/custom-properties" xmlns:vt="http://schemas.openxmlformats.org/officeDocument/2006/docPropsVTypes"/>
</file>