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7011C" w14:paraId="0D83833F" w14:textId="77777777">
        <w:tc>
          <w:tcPr>
            <w:tcW w:w="9746" w:type="dxa"/>
            <w:tcBorders>
              <w:top w:val="nil"/>
              <w:left w:val="nil"/>
              <w:bottom w:val="nil"/>
              <w:right w:val="nil"/>
            </w:tcBorders>
            <w:shd w:val="clear" w:color="auto" w:fill="1E3A5F"/>
            <w:tcMar>
              <w:top w:w="80" w:type="dxa"/>
              <w:left w:w="120" w:type="dxa"/>
              <w:bottom w:w="80" w:type="dxa"/>
              <w:right w:w="120" w:type="dxa"/>
            </w:tcMar>
          </w:tcPr>
          <w:p w14:paraId="61CCEBEB" w14:textId="77777777" w:rsidR="0007011C" w:rsidRDefault="00000000">
            <w:pPr>
              <w:spacing w:before="40" w:after="40"/>
              <w:jc w:val="center"/>
            </w:pPr>
            <w:r>
              <w:rPr>
                <w:rFonts w:ascii="Arial" w:eastAsia="Arial" w:hAnsi="Arial" w:cs="Arial"/>
                <w:b/>
                <w:bCs/>
                <w:color w:val="FFFFFF"/>
                <w:sz w:val="18"/>
                <w:szCs w:val="18"/>
              </w:rPr>
              <w:t>PROJECT AEGIS  ·  EXECUTIVE LAUNCH BRIEF  ·  CONFIDENTIAL  ·  MAY 2026</w:t>
            </w:r>
          </w:p>
        </w:tc>
      </w:tr>
    </w:tbl>
    <w:p w14:paraId="094EB872" w14:textId="77777777" w:rsidR="0007011C" w:rsidRDefault="0007011C">
      <w:pPr>
        <w:spacing w:after="40"/>
      </w:pPr>
    </w:p>
    <w:p w14:paraId="2C069581" w14:textId="77777777" w:rsidR="0007011C" w:rsidRDefault="00000000">
      <w:r>
        <w:rPr>
          <w:rFonts w:ascii="Arial" w:eastAsia="Arial" w:hAnsi="Arial" w:cs="Arial"/>
          <w:b/>
          <w:bCs/>
          <w:color w:val="1E3A5F"/>
          <w:sz w:val="44"/>
          <w:szCs w:val="44"/>
        </w:rPr>
        <w:t>Project Aegis</w:t>
      </w:r>
    </w:p>
    <w:p w14:paraId="13A23029" w14:textId="77777777" w:rsidR="0007011C" w:rsidRDefault="00000000">
      <w:pPr>
        <w:spacing w:before="40" w:after="60"/>
      </w:pPr>
      <w:r>
        <w:rPr>
          <w:rFonts w:ascii="Arial" w:eastAsia="Arial" w:hAnsi="Arial" w:cs="Arial"/>
          <w:color w:val="2C5F8A"/>
          <w:sz w:val="22"/>
          <w:szCs w:val="22"/>
        </w:rPr>
        <w:t>Prescriptive KPI &amp; Performance Dashboard  ·  Autonomous Operational Governance Agent</w:t>
      </w:r>
    </w:p>
    <w:p w14:paraId="501E5482" w14:textId="77777777" w:rsidR="0007011C" w:rsidRDefault="00A40372">
      <w:pPr>
        <w:spacing w:after="80"/>
      </w:pPr>
      <w:r>
        <w:rPr>
          <w:rFonts w:ascii="Arial" w:eastAsia="Arial" w:hAnsi="Arial" w:cs="Arial"/>
          <w:color w:val="64748B"/>
          <w:sz w:val="18"/>
          <w:szCs w:val="18"/>
        </w:rPr>
        <w:t xml:space="preserve">Authored by: </w:t>
      </w:r>
      <w:r>
        <w:rPr>
          <w:rFonts w:ascii="Arial" w:eastAsia="Arial" w:hAnsi="Arial" w:cs="Arial"/>
          <w:b/>
          <w:bCs/>
          <w:color w:val="1E293B"/>
          <w:sz w:val="18"/>
          <w:szCs w:val="18"/>
        </w:rPr>
        <w:t>Smita Harding, AI Transformation Lead</w:t>
      </w:r>
      <w:r>
        <w:rPr>
          <w:rFonts w:ascii="Arial" w:eastAsia="Arial" w:hAnsi="Arial" w:cs="Arial"/>
          <w:color w:val="64748B"/>
          <w:sz w:val="18"/>
          <w:szCs w:val="18"/>
        </w:rPr>
        <w:t xml:space="preserve">     Audience: </w:t>
      </w:r>
      <w:r>
        <w:rPr>
          <w:rFonts w:ascii="Arial" w:eastAsia="Arial" w:hAnsi="Arial" w:cs="Arial"/>
          <w:color w:val="1E293B"/>
          <w:sz w:val="18"/>
          <w:szCs w:val="18"/>
        </w:rPr>
        <w:t>VP Operations  ·  Director of Operations  ·  Director of Technology</w:t>
      </w:r>
    </w:p>
    <w:p w14:paraId="369CE13C" w14:textId="77777777" w:rsidR="0007011C" w:rsidRDefault="0007011C">
      <w:pPr>
        <w:pBdr>
          <w:bottom w:val="single" w:sz="6" w:space="2" w:color="1E3A5F"/>
        </w:pBdr>
      </w:pPr>
    </w:p>
    <w:p w14:paraId="3FE69E4E" w14:textId="77777777" w:rsidR="0007011C" w:rsidRDefault="00000000">
      <w:pPr>
        <w:pBdr>
          <w:bottom w:val="single" w:sz="4" w:space="4" w:color="2C5F8A"/>
        </w:pBdr>
        <w:spacing w:before="180" w:after="80"/>
      </w:pPr>
      <w:r>
        <w:rPr>
          <w:rFonts w:ascii="Arial" w:eastAsia="Arial" w:hAnsi="Arial" w:cs="Arial"/>
          <w:b/>
          <w:bCs/>
          <w:color w:val="2C5F8A"/>
          <w:sz w:val="22"/>
          <w:szCs w:val="22"/>
        </w:rPr>
        <w:t>1   The Problem — Current State</w:t>
      </w:r>
    </w:p>
    <w:p w14:paraId="0D53E70A" w14:textId="77777777" w:rsidR="0007011C" w:rsidRDefault="00000000">
      <w:pPr>
        <w:spacing w:before="60" w:after="80"/>
      </w:pPr>
      <w:r>
        <w:rPr>
          <w:rFonts w:ascii="Arial" w:eastAsia="Arial" w:hAnsi="Arial" w:cs="Arial"/>
          <w:color w:val="1E293B"/>
        </w:rPr>
        <w:t>Pan-European B2B logistics payment operations managing 1,200–1,500 logistics companies across eight markets generate approximately 8,000–10,000 invoice line items per week. Contractual SLAs require payment release within 7 days and dispute resolution within 10 business days. When a KPI breaches its target, two things must happen fast: leadership must know, and corrective action must begin. Today, both happen slowly, for three compounding reasons.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346"/>
      </w:tblGrid>
      <w:tr w:rsidR="0007011C" w14:paraId="2B2CDBBE" w14:textId="77777777">
        <w:trPr>
          <w:tblHeader/>
        </w:trPr>
        <w:tc>
          <w:tcPr>
            <w:tcW w:w="44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66D30FCC" w14:textId="77777777" w:rsidR="0007011C" w:rsidRDefault="00000000">
            <w:pPr>
              <w:spacing w:before="40" w:after="40"/>
            </w:pPr>
            <w:r>
              <w:rPr>
                <w:rFonts w:ascii="Arial" w:eastAsia="Arial" w:hAnsi="Arial" w:cs="Arial"/>
                <w:b/>
                <w:bCs/>
                <w:color w:val="FFFFFF"/>
                <w:sz w:val="18"/>
                <w:szCs w:val="18"/>
              </w:rPr>
              <w:t>Failure</w:t>
            </w:r>
          </w:p>
        </w:tc>
        <w:tc>
          <w:tcPr>
            <w:tcW w:w="5346"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4A11E28B" w14:textId="77777777" w:rsidR="0007011C" w:rsidRDefault="00000000">
            <w:pPr>
              <w:spacing w:before="40" w:after="40"/>
            </w:pPr>
            <w:r>
              <w:rPr>
                <w:rFonts w:ascii="Arial" w:eastAsia="Arial" w:hAnsi="Arial" w:cs="Arial"/>
                <w:b/>
                <w:bCs/>
                <w:color w:val="FFFFFF"/>
                <w:sz w:val="18"/>
                <w:szCs w:val="18"/>
              </w:rPr>
              <w:t>Business Impact</w:t>
            </w:r>
          </w:p>
        </w:tc>
      </w:tr>
      <w:tr w:rsidR="0007011C" w14:paraId="5EF85B7B" w14:textId="77777777">
        <w:tc>
          <w:tcPr>
            <w:tcW w:w="4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2F6DB6A" w14:textId="77777777" w:rsidR="0007011C" w:rsidRDefault="00000000">
            <w:pPr>
              <w:spacing w:before="40" w:after="20"/>
            </w:pPr>
            <w:r>
              <w:rPr>
                <w:rFonts w:ascii="Arial" w:eastAsia="Arial" w:hAnsi="Arial" w:cs="Arial"/>
                <w:b/>
                <w:bCs/>
                <w:color w:val="1E293B"/>
                <w:sz w:val="19"/>
                <w:szCs w:val="19"/>
              </w:rPr>
              <w:t>Reporting lag</w:t>
            </w:r>
          </w:p>
          <w:p w14:paraId="034C7815" w14:textId="77777777" w:rsidR="0007011C" w:rsidRDefault="00000000">
            <w:pPr>
              <w:spacing w:after="40"/>
            </w:pPr>
            <w:r>
              <w:rPr>
                <w:rFonts w:ascii="Arial" w:eastAsia="Arial" w:hAnsi="Arial" w:cs="Arial"/>
                <w:color w:val="1E293B"/>
                <w:sz w:val="19"/>
                <w:szCs w:val="19"/>
              </w:rPr>
              <w:t>3–7 days from KPI breach to leadership visibility.</w:t>
            </w:r>
          </w:p>
        </w:tc>
        <w:tc>
          <w:tcPr>
            <w:tcW w:w="53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A779CC" w14:textId="77777777" w:rsidR="0007011C" w:rsidRDefault="00000000">
            <w:pPr>
              <w:spacing w:before="40" w:after="40"/>
            </w:pPr>
            <w:r>
              <w:rPr>
                <w:rFonts w:ascii="Arial" w:eastAsia="Arial" w:hAnsi="Arial" w:cs="Arial"/>
                <w:color w:val="1E293B"/>
                <w:sz w:val="19"/>
                <w:szCs w:val="19"/>
              </w:rPr>
              <w:t>Correction windows often close before intervention is possible. Downstream financial and compliance exposure accumulates unchecked.</w:t>
            </w:r>
          </w:p>
        </w:tc>
      </w:tr>
      <w:tr w:rsidR="0007011C" w14:paraId="08A6DE59" w14:textId="77777777">
        <w:tc>
          <w:tcPr>
            <w:tcW w:w="4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DA5C64" w14:textId="77777777" w:rsidR="0007011C" w:rsidRDefault="00000000">
            <w:pPr>
              <w:spacing w:before="40" w:after="20"/>
            </w:pPr>
            <w:r>
              <w:rPr>
                <w:rFonts w:ascii="Arial" w:eastAsia="Arial" w:hAnsi="Arial" w:cs="Arial"/>
                <w:b/>
                <w:bCs/>
                <w:color w:val="1E293B"/>
                <w:sz w:val="19"/>
                <w:szCs w:val="19"/>
              </w:rPr>
              <w:t>Analytical bottleneck</w:t>
            </w:r>
          </w:p>
          <w:p w14:paraId="6C1758F1" w14:textId="77777777" w:rsidR="0007011C" w:rsidRDefault="00000000">
            <w:pPr>
              <w:spacing w:after="40"/>
            </w:pPr>
            <w:r>
              <w:rPr>
                <w:rFonts w:ascii="Arial" w:eastAsia="Arial" w:hAnsi="Arial" w:cs="Arial"/>
                <w:color w:val="1E293B"/>
                <w:sz w:val="19"/>
                <w:szCs w:val="19"/>
              </w:rPr>
              <w:t>Senior PMs spend up to 30% of weekly capacity chasing operational leads across time zones.</w:t>
            </w:r>
          </w:p>
        </w:tc>
        <w:tc>
          <w:tcPr>
            <w:tcW w:w="53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BC160D" w14:textId="77777777" w:rsidR="0007011C" w:rsidRDefault="00000000">
            <w:pPr>
              <w:spacing w:before="40" w:after="40"/>
            </w:pPr>
            <w:r>
              <w:rPr>
                <w:rFonts w:ascii="Arial" w:eastAsia="Arial" w:hAnsi="Arial" w:cs="Arial"/>
                <w:color w:val="1E293B"/>
                <w:sz w:val="19"/>
                <w:szCs w:val="19"/>
              </w:rPr>
              <w:t>Analyst capacity consumed by data gathering rather than solution design. Briefing quality is inconsistent and time-dependent.</w:t>
            </w:r>
          </w:p>
        </w:tc>
      </w:tr>
      <w:tr w:rsidR="0007011C" w14:paraId="3BDDB7AD" w14:textId="77777777">
        <w:tc>
          <w:tcPr>
            <w:tcW w:w="4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ACA5D9" w14:textId="77777777" w:rsidR="0007011C" w:rsidRDefault="00000000">
            <w:pPr>
              <w:spacing w:before="40" w:after="20"/>
            </w:pPr>
            <w:r>
              <w:rPr>
                <w:rFonts w:ascii="Arial" w:eastAsia="Arial" w:hAnsi="Arial" w:cs="Arial"/>
                <w:b/>
                <w:bCs/>
                <w:color w:val="1E293B"/>
                <w:sz w:val="19"/>
                <w:szCs w:val="19"/>
              </w:rPr>
              <w:t>Governance risk</w:t>
            </w:r>
          </w:p>
          <w:p w14:paraId="6E631B12" w14:textId="77777777" w:rsidR="0007011C" w:rsidRDefault="00000000">
            <w:pPr>
              <w:spacing w:after="40"/>
            </w:pPr>
            <w:r>
              <w:rPr>
                <w:rFonts w:ascii="Arial" w:eastAsia="Arial" w:hAnsi="Arial" w:cs="Arial"/>
                <w:color w:val="1E293B"/>
                <w:sz w:val="19"/>
                <w:szCs w:val="19"/>
              </w:rPr>
              <w:t>Structured KPI data and unstructured incident logs — IT tickets, shift notes, dispute records — are almost never systematically cross-referenced.</w:t>
            </w:r>
          </w:p>
        </w:tc>
        <w:tc>
          <w:tcPr>
            <w:tcW w:w="53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1265F1" w14:textId="77777777" w:rsidR="0007011C" w:rsidRDefault="00000000">
            <w:pPr>
              <w:spacing w:before="40" w:after="40"/>
            </w:pPr>
            <w:r>
              <w:rPr>
                <w:rFonts w:ascii="Arial" w:eastAsia="Arial" w:hAnsi="Arial" w:cs="Arial"/>
                <w:color w:val="1E293B"/>
                <w:sz w:val="19"/>
                <w:szCs w:val="19"/>
              </w:rPr>
              <w:t>Corrective action plans rely on memory and institutional knowledge. Root cause analysis is anecdotal, incomplete, and variable in quality.</w:t>
            </w:r>
          </w:p>
        </w:tc>
      </w:tr>
    </w:tbl>
    <w:p w14:paraId="43DC3BB1" w14:textId="77777777" w:rsidR="0007011C" w:rsidRDefault="0007011C">
      <w:pPr>
        <w:spacing w:after="120"/>
      </w:pPr>
    </w:p>
    <w:p w14:paraId="72EAD8F4" w14:textId="7D1F2FDA" w:rsidR="0007011C" w:rsidRDefault="00000000">
      <w:pPr>
        <w:pBdr>
          <w:bottom w:val="single" w:sz="4" w:space="4" w:color="2C5F8A"/>
        </w:pBdr>
        <w:spacing w:before="180" w:after="80"/>
      </w:pPr>
      <w:r>
        <w:rPr>
          <w:rFonts w:ascii="Arial" w:eastAsia="Arial" w:hAnsi="Arial" w:cs="Arial"/>
          <w:b/>
          <w:bCs/>
          <w:color w:val="2C5F8A"/>
          <w:sz w:val="22"/>
          <w:szCs w:val="22"/>
        </w:rPr>
        <w:t>2   The Solution</w:t>
      </w:r>
    </w:p>
    <w:p w14:paraId="3691F8CF" w14:textId="77777777" w:rsidR="0007011C" w:rsidRDefault="00000000">
      <w:pPr>
        <w:spacing w:before="60" w:after="80"/>
      </w:pPr>
      <w:r>
        <w:rPr>
          <w:rFonts w:ascii="Arial" w:eastAsia="Arial" w:hAnsi="Arial" w:cs="Arial"/>
          <w:color w:val="1E293B"/>
        </w:rPr>
        <w:t>Project Aegis replaces manual reporting with an autonomous AI governance agent. The moment a KPI breaches its SLA threshold, the system detects it, cross-references the corresponding operational logs, and generates a tailored prescriptive briefings for leadership as well as business operations teams without human intervention.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73"/>
        <w:gridCol w:w="3873"/>
      </w:tblGrid>
      <w:tr w:rsidR="0007011C" w14:paraId="2EF4B648"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1902F3E5" w14:textId="77777777" w:rsidR="0007011C" w:rsidRDefault="00000000">
            <w:pPr>
              <w:spacing w:before="40" w:after="40"/>
            </w:pPr>
            <w:r>
              <w:rPr>
                <w:rFonts w:ascii="Arial" w:eastAsia="Arial" w:hAnsi="Arial" w:cs="Arial"/>
                <w:b/>
                <w:bCs/>
                <w:color w:val="FFFFFF"/>
                <w:sz w:val="18"/>
                <w:szCs w:val="18"/>
              </w:rPr>
              <w:t>Capability</w:t>
            </w:r>
          </w:p>
        </w:tc>
        <w:tc>
          <w:tcPr>
            <w:tcW w:w="3073"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215351BD" w14:textId="77777777" w:rsidR="0007011C" w:rsidRDefault="00000000">
            <w:pPr>
              <w:spacing w:before="40" w:after="40"/>
            </w:pPr>
            <w:r>
              <w:rPr>
                <w:rFonts w:ascii="Arial" w:eastAsia="Arial" w:hAnsi="Arial" w:cs="Arial"/>
                <w:b/>
                <w:bCs/>
                <w:color w:val="FFFFFF"/>
                <w:sz w:val="18"/>
                <w:szCs w:val="18"/>
              </w:rPr>
              <w:t>As-Is</w:t>
            </w:r>
          </w:p>
        </w:tc>
        <w:tc>
          <w:tcPr>
            <w:tcW w:w="3873" w:type="dxa"/>
            <w:tcBorders>
              <w:top w:val="single" w:sz="1" w:space="0" w:color="CBD5E1"/>
              <w:left w:val="single" w:sz="1" w:space="0" w:color="CBD5E1"/>
              <w:bottom w:val="single" w:sz="1" w:space="0" w:color="CBD5E1"/>
              <w:right w:val="single" w:sz="1" w:space="0" w:color="CBD5E1"/>
            </w:tcBorders>
            <w:shd w:val="clear" w:color="auto" w:fill="1A7F5A"/>
            <w:tcMar>
              <w:top w:w="80" w:type="dxa"/>
              <w:left w:w="120" w:type="dxa"/>
              <w:bottom w:w="80" w:type="dxa"/>
              <w:right w:w="120" w:type="dxa"/>
            </w:tcMar>
          </w:tcPr>
          <w:p w14:paraId="14738652" w14:textId="77777777" w:rsidR="0007011C" w:rsidRDefault="00000000">
            <w:pPr>
              <w:spacing w:before="40" w:after="40"/>
            </w:pPr>
            <w:r>
              <w:rPr>
                <w:rFonts w:ascii="Arial" w:eastAsia="Arial" w:hAnsi="Arial" w:cs="Arial"/>
                <w:b/>
                <w:bCs/>
                <w:color w:val="FFFFFF"/>
                <w:sz w:val="18"/>
                <w:szCs w:val="18"/>
              </w:rPr>
              <w:t>With Project Aegis</w:t>
            </w:r>
          </w:p>
        </w:tc>
      </w:tr>
      <w:tr w:rsidR="0007011C" w14:paraId="1FD82875"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7D01AE5C" w14:textId="77777777" w:rsidR="0007011C" w:rsidRDefault="00000000">
            <w:pPr>
              <w:spacing w:before="40" w:after="40"/>
            </w:pPr>
            <w:r>
              <w:rPr>
                <w:rFonts w:ascii="Arial" w:eastAsia="Arial" w:hAnsi="Arial" w:cs="Arial"/>
                <w:b/>
                <w:bCs/>
                <w:color w:val="1E293B"/>
                <w:sz w:val="19"/>
                <w:szCs w:val="19"/>
              </w:rPr>
              <w:t>Time to insight</w:t>
            </w:r>
          </w:p>
        </w:tc>
        <w:tc>
          <w:tcPr>
            <w:tcW w:w="3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8B0731" w14:textId="77777777" w:rsidR="0007011C" w:rsidRDefault="005E6EBF">
            <w:pPr>
              <w:spacing w:before="40" w:after="40"/>
            </w:pPr>
            <w:r>
              <w:rPr>
                <w:rFonts w:ascii="Arial" w:eastAsia="Arial" w:hAnsi="Arial" w:cs="Arial"/>
                <w:color w:val="1E293B"/>
                <w:sz w:val="19"/>
                <w:szCs w:val="19"/>
              </w:rPr>
              <w:t>1–7 days</w:t>
            </w:r>
          </w:p>
        </w:tc>
        <w:tc>
          <w:tcPr>
            <w:tcW w:w="38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9FC1BD" w14:textId="77777777" w:rsidR="0007011C" w:rsidRDefault="00000000">
            <w:pPr>
              <w:spacing w:before="40" w:after="40"/>
            </w:pPr>
            <w:r>
              <w:rPr>
                <w:rFonts w:ascii="Arial" w:eastAsia="Arial" w:hAnsi="Arial" w:cs="Arial"/>
                <w:b/>
                <w:bCs/>
                <w:color w:val="1A7F5A"/>
                <w:sz w:val="19"/>
                <w:szCs w:val="19"/>
              </w:rPr>
              <w:t>Minutes</w:t>
            </w:r>
          </w:p>
        </w:tc>
      </w:tr>
      <w:tr w:rsidR="0007011C" w14:paraId="2A67CE79"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4294DE34" w14:textId="77777777" w:rsidR="0007011C" w:rsidRDefault="00000000">
            <w:pPr>
              <w:spacing w:before="40" w:after="40"/>
            </w:pPr>
            <w:r>
              <w:rPr>
                <w:rFonts w:ascii="Arial" w:eastAsia="Arial" w:hAnsi="Arial" w:cs="Arial"/>
                <w:b/>
                <w:bCs/>
                <w:color w:val="1E293B"/>
                <w:sz w:val="19"/>
                <w:szCs w:val="19"/>
              </w:rPr>
              <w:t>Briefing preparation</w:t>
            </w:r>
          </w:p>
        </w:tc>
        <w:tc>
          <w:tcPr>
            <w:tcW w:w="3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1D5897" w14:textId="77777777" w:rsidR="0007011C" w:rsidRDefault="00000000">
            <w:pPr>
              <w:spacing w:before="40" w:after="40"/>
            </w:pPr>
            <w:r>
              <w:rPr>
                <w:rFonts w:ascii="Arial" w:eastAsia="Arial" w:hAnsi="Arial" w:cs="Arial"/>
                <w:color w:val="1E293B"/>
                <w:sz w:val="19"/>
                <w:szCs w:val="19"/>
              </w:rPr>
              <w:t>Manual — senior PM drafts based on inputs from operations leads and ad hoc data pulls</w:t>
            </w:r>
          </w:p>
        </w:tc>
        <w:tc>
          <w:tcPr>
            <w:tcW w:w="38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DC81AE" w14:textId="77777777" w:rsidR="0007011C" w:rsidRDefault="00000000">
            <w:pPr>
              <w:spacing w:before="40" w:after="40"/>
            </w:pPr>
            <w:r>
              <w:rPr>
                <w:rFonts w:ascii="Arial" w:eastAsia="Arial" w:hAnsi="Arial" w:cs="Arial"/>
                <w:color w:val="1E293B"/>
                <w:sz w:val="19"/>
                <w:szCs w:val="19"/>
              </w:rPr>
              <w:t>Autonomous — AI-generated from operational data</w:t>
            </w:r>
          </w:p>
        </w:tc>
      </w:tr>
      <w:tr w:rsidR="0007011C" w14:paraId="088D2116"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6B68BEC3" w14:textId="77777777" w:rsidR="0007011C" w:rsidRDefault="00000000">
            <w:pPr>
              <w:spacing w:before="40" w:after="40"/>
            </w:pPr>
            <w:r>
              <w:rPr>
                <w:rFonts w:ascii="Arial" w:eastAsia="Arial" w:hAnsi="Arial" w:cs="Arial"/>
                <w:b/>
                <w:bCs/>
                <w:color w:val="1E293B"/>
                <w:sz w:val="19"/>
                <w:szCs w:val="19"/>
              </w:rPr>
              <w:t>Root cause analysis</w:t>
            </w:r>
          </w:p>
        </w:tc>
        <w:tc>
          <w:tcPr>
            <w:tcW w:w="3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C6B31A2" w14:textId="77777777" w:rsidR="0007011C" w:rsidRDefault="00000000">
            <w:pPr>
              <w:spacing w:before="40" w:after="40"/>
            </w:pPr>
            <w:r>
              <w:rPr>
                <w:rFonts w:ascii="Arial" w:eastAsia="Arial" w:hAnsi="Arial" w:cs="Arial"/>
                <w:color w:val="1E293B"/>
                <w:sz w:val="19"/>
                <w:szCs w:val="19"/>
              </w:rPr>
              <w:t>Retrospective and anecdotal; structured and unstructured data reviewed separately</w:t>
            </w:r>
          </w:p>
        </w:tc>
        <w:tc>
          <w:tcPr>
            <w:tcW w:w="38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5BD1D2" w14:textId="77777777" w:rsidR="0007011C" w:rsidRDefault="00000000">
            <w:pPr>
              <w:spacing w:before="40" w:after="40"/>
            </w:pPr>
            <w:r>
              <w:rPr>
                <w:rFonts w:ascii="Arial" w:eastAsia="Arial" w:hAnsi="Arial" w:cs="Arial"/>
                <w:color w:val="1E293B"/>
                <w:sz w:val="19"/>
                <w:szCs w:val="19"/>
              </w:rPr>
              <w:t>KPI variance data and operational incident logs cross-referenced simultaneously at point of breach</w:t>
            </w:r>
          </w:p>
        </w:tc>
      </w:tr>
      <w:tr w:rsidR="0007011C" w14:paraId="1AB9C4AD"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293AFA86" w14:textId="77777777" w:rsidR="0007011C" w:rsidRDefault="00000000">
            <w:pPr>
              <w:spacing w:before="40" w:after="40"/>
            </w:pPr>
            <w:r>
              <w:rPr>
                <w:rFonts w:ascii="Arial" w:eastAsia="Arial" w:hAnsi="Arial" w:cs="Arial"/>
                <w:b/>
                <w:bCs/>
                <w:color w:val="1E293B"/>
                <w:sz w:val="19"/>
                <w:szCs w:val="19"/>
              </w:rPr>
              <w:t>Governance scope</w:t>
            </w:r>
          </w:p>
        </w:tc>
        <w:tc>
          <w:tcPr>
            <w:tcW w:w="3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A99CA1" w14:textId="77777777" w:rsidR="0007011C" w:rsidRDefault="00000000">
            <w:pPr>
              <w:spacing w:before="40" w:after="40"/>
            </w:pPr>
            <w:r>
              <w:rPr>
                <w:rFonts w:ascii="Arial" w:eastAsia="Arial" w:hAnsi="Arial" w:cs="Arial"/>
                <w:color w:val="1E293B"/>
                <w:sz w:val="19"/>
                <w:szCs w:val="19"/>
              </w:rPr>
              <w:t>One market or workstream at a time</w:t>
            </w:r>
          </w:p>
        </w:tc>
        <w:tc>
          <w:tcPr>
            <w:tcW w:w="38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EA9DEF" w14:textId="77777777" w:rsidR="0007011C" w:rsidRDefault="00000000">
            <w:pPr>
              <w:spacing w:before="40" w:after="40"/>
            </w:pPr>
            <w:r>
              <w:rPr>
                <w:rFonts w:ascii="Arial" w:eastAsia="Arial" w:hAnsi="Arial" w:cs="Arial"/>
                <w:color w:val="1E293B"/>
                <w:sz w:val="19"/>
                <w:szCs w:val="19"/>
              </w:rPr>
              <w:t>Pan-European — all markets and key metrics monitored simultaneously</w:t>
            </w:r>
          </w:p>
        </w:tc>
      </w:tr>
      <w:tr w:rsidR="0007011C" w14:paraId="44185B40"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63BAD512" w14:textId="77777777" w:rsidR="0007011C" w:rsidRDefault="00000000">
            <w:pPr>
              <w:spacing w:before="40" w:after="40"/>
            </w:pPr>
            <w:r>
              <w:rPr>
                <w:rFonts w:ascii="Arial" w:eastAsia="Arial" w:hAnsi="Arial" w:cs="Arial"/>
                <w:b/>
                <w:bCs/>
                <w:color w:val="1E293B"/>
                <w:sz w:val="19"/>
                <w:szCs w:val="19"/>
              </w:rPr>
              <w:t>PM capacity freed</w:t>
            </w:r>
          </w:p>
        </w:tc>
        <w:tc>
          <w:tcPr>
            <w:tcW w:w="3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8D0489" w14:textId="77777777" w:rsidR="0007011C" w:rsidRDefault="00000000">
            <w:pPr>
              <w:spacing w:before="40" w:after="40"/>
            </w:pPr>
            <w:r>
              <w:rPr>
                <w:rFonts w:ascii="Arial" w:eastAsia="Arial" w:hAnsi="Arial" w:cs="Arial"/>
                <w:color w:val="1E293B"/>
                <w:sz w:val="19"/>
                <w:szCs w:val="19"/>
              </w:rPr>
              <w:t>Up to 30% weekly capacity spent on variance report preparation</w:t>
            </w:r>
          </w:p>
        </w:tc>
        <w:tc>
          <w:tcPr>
            <w:tcW w:w="38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F3ABF2" w14:textId="77777777" w:rsidR="0007011C" w:rsidRDefault="00000000">
            <w:pPr>
              <w:spacing w:before="40" w:after="40"/>
            </w:pPr>
            <w:r>
              <w:rPr>
                <w:rFonts w:ascii="Arial" w:eastAsia="Arial" w:hAnsi="Arial" w:cs="Arial"/>
                <w:color w:val="1E293B"/>
                <w:sz w:val="19"/>
                <w:szCs w:val="19"/>
              </w:rPr>
              <w:t>Reporting automated — PM capacity redirected to corrective action and strategic delivery</w:t>
            </w:r>
          </w:p>
        </w:tc>
      </w:tr>
    </w:tbl>
    <w:p w14:paraId="1CA816E9" w14:textId="1C8166C8" w:rsidR="0007011C" w:rsidRDefault="00000000" w:rsidP="002D4178">
      <w:pPr>
        <w:pBdr>
          <w:bottom w:val="single" w:sz="4" w:space="4" w:color="2C5F8A"/>
        </w:pBdr>
        <w:spacing w:before="180" w:after="80"/>
        <w:rPr>
          <w:rFonts w:ascii="Arial" w:eastAsia="Arial" w:hAnsi="Arial" w:cs="Arial"/>
          <w:b/>
          <w:bCs/>
          <w:color w:val="2C5F8A"/>
          <w:sz w:val="22"/>
          <w:szCs w:val="22"/>
        </w:rPr>
      </w:pPr>
      <w:r>
        <w:br w:type="page"/>
      </w:r>
      <w:r w:rsidR="002D4178">
        <w:lastRenderedPageBreak/>
        <w:br/>
      </w:r>
      <w:r w:rsidRPr="002D4178">
        <w:rPr>
          <w:rFonts w:ascii="Arial" w:eastAsia="Arial" w:hAnsi="Arial" w:cs="Arial"/>
          <w:b/>
          <w:bCs/>
          <w:color w:val="2C5F8A"/>
          <w:sz w:val="22"/>
          <w:szCs w:val="22"/>
        </w:rPr>
        <w:t>3   What Is Being Launched</w:t>
      </w:r>
    </w:p>
    <w:p w14:paraId="7783B5E4" w14:textId="77777777" w:rsidR="00846154" w:rsidRDefault="00000000">
      <w:pPr>
        <w:spacing w:before="60" w:after="80"/>
        <w:rPr>
          <w:rFonts w:ascii="Arial" w:eastAsia="Arial" w:hAnsi="Arial" w:cs="Arial"/>
          <w:color w:val="1E293B"/>
        </w:rPr>
      </w:pPr>
      <w:r>
        <w:rPr>
          <w:rFonts w:ascii="Arial" w:eastAsia="Arial" w:hAnsi="Arial" w:cs="Arial"/>
          <w:color w:val="1E293B"/>
        </w:rPr>
        <w:t xml:space="preserve">Project Aegis v1.0 is a fully operational governance dashboard built on a simulated 16-week scenario dataset. It is structured across four layers: </w:t>
      </w:r>
    </w:p>
    <w:p w14:paraId="12E5F673" w14:textId="77777777" w:rsidR="00846154" w:rsidRPr="00846154" w:rsidRDefault="00000000" w:rsidP="00846154">
      <w:pPr>
        <w:pStyle w:val="ListParagraph"/>
        <w:numPr>
          <w:ilvl w:val="0"/>
          <w:numId w:val="2"/>
        </w:numPr>
        <w:spacing w:before="60" w:after="80"/>
      </w:pPr>
      <w:r>
        <w:rPr>
          <w:rFonts w:ascii="Arial" w:eastAsia="Arial" w:hAnsi="Arial" w:cs="Arial"/>
          <w:color w:val="1E293B"/>
        </w:rPr>
        <w:t xml:space="preserve">a </w:t>
      </w:r>
      <w:r>
        <w:rPr>
          <w:rFonts w:ascii="Arial" w:eastAsia="Arial" w:hAnsi="Arial" w:cs="Arial"/>
          <w:b/>
          <w:bCs/>
          <w:color w:val="1E293B"/>
        </w:rPr>
        <w:t>data layer</w:t>
      </w:r>
      <w:r>
        <w:rPr>
          <w:rFonts w:ascii="Arial" w:eastAsia="Arial" w:hAnsi="Arial" w:cs="Arial"/>
          <w:color w:val="1E293B"/>
        </w:rPr>
        <w:t xml:space="preserve"> (SQLite database seeded with formula-derived KPI data and operational incident notes);</w:t>
      </w:r>
    </w:p>
    <w:p w14:paraId="1B2C4EC1" w14:textId="77777777" w:rsidR="00846154" w:rsidRPr="00846154" w:rsidRDefault="00000000" w:rsidP="00846154">
      <w:pPr>
        <w:pStyle w:val="ListParagraph"/>
        <w:numPr>
          <w:ilvl w:val="0"/>
          <w:numId w:val="2"/>
        </w:numPr>
        <w:spacing w:before="60" w:after="80"/>
      </w:pPr>
      <w:r>
        <w:rPr>
          <w:rFonts w:ascii="Arial" w:eastAsia="Arial" w:hAnsi="Arial" w:cs="Arial"/>
          <w:color w:val="1E293B"/>
        </w:rPr>
        <w:t xml:space="preserve">a </w:t>
      </w:r>
      <w:r>
        <w:rPr>
          <w:rFonts w:ascii="Arial" w:eastAsia="Arial" w:hAnsi="Arial" w:cs="Arial"/>
          <w:b/>
          <w:bCs/>
          <w:color w:val="1E293B"/>
        </w:rPr>
        <w:t>detection layer</w:t>
      </w:r>
      <w:r>
        <w:rPr>
          <w:rFonts w:ascii="Arial" w:eastAsia="Arial" w:hAnsi="Arial" w:cs="Arial"/>
          <w:color w:val="1E293B"/>
        </w:rPr>
        <w:t xml:space="preserve"> (rule-based anomaly engine evaluating all ten KPIs against configurable SLA thresholds and week-on-week deterioration rules); </w:t>
      </w:r>
    </w:p>
    <w:p w14:paraId="0DD605B4" w14:textId="77777777" w:rsidR="00846154" w:rsidRPr="00846154" w:rsidRDefault="00000000" w:rsidP="00846154">
      <w:pPr>
        <w:pStyle w:val="ListParagraph"/>
        <w:numPr>
          <w:ilvl w:val="0"/>
          <w:numId w:val="2"/>
        </w:numPr>
        <w:spacing w:before="60" w:after="80"/>
      </w:pPr>
      <w:r>
        <w:rPr>
          <w:rFonts w:ascii="Arial" w:eastAsia="Arial" w:hAnsi="Arial" w:cs="Arial"/>
          <w:color w:val="1E293B"/>
        </w:rPr>
        <w:t xml:space="preserve">an </w:t>
      </w:r>
      <w:r>
        <w:rPr>
          <w:rFonts w:ascii="Arial" w:eastAsia="Arial" w:hAnsi="Arial" w:cs="Arial"/>
          <w:b/>
          <w:bCs/>
          <w:color w:val="1E293B"/>
        </w:rPr>
        <w:t>intelligence layer</w:t>
      </w:r>
      <w:r>
        <w:rPr>
          <w:rFonts w:ascii="Arial" w:eastAsia="Arial" w:hAnsi="Arial" w:cs="Arial"/>
          <w:color w:val="1E293B"/>
        </w:rPr>
        <w:t xml:space="preserve"> (dual Claude AI personas — one calibrated to executive financial risk, one to operational root cause); </w:t>
      </w:r>
    </w:p>
    <w:p w14:paraId="66A577B8" w14:textId="77777777" w:rsidR="0007011C" w:rsidRDefault="00000000" w:rsidP="00846154">
      <w:pPr>
        <w:pStyle w:val="ListParagraph"/>
        <w:numPr>
          <w:ilvl w:val="0"/>
          <w:numId w:val="2"/>
        </w:numPr>
        <w:spacing w:before="60" w:after="80"/>
      </w:pPr>
      <w:r>
        <w:rPr>
          <w:rFonts w:ascii="Arial" w:eastAsia="Arial" w:hAnsi="Arial" w:cs="Arial"/>
          <w:color w:val="1E293B"/>
        </w:rPr>
        <w:t xml:space="preserve">a </w:t>
      </w:r>
      <w:r>
        <w:rPr>
          <w:rFonts w:ascii="Arial" w:eastAsia="Arial" w:hAnsi="Arial" w:cs="Arial"/>
          <w:b/>
          <w:bCs/>
          <w:color w:val="1E293B"/>
        </w:rPr>
        <w:t>presentation layer</w:t>
      </w:r>
      <w:r>
        <w:rPr>
          <w:rFonts w:ascii="Arial" w:eastAsia="Arial" w:hAnsi="Arial" w:cs="Arial"/>
          <w:color w:val="1E293B"/>
        </w:rPr>
        <w:t xml:space="preserve"> (Streamlit dashboard with two governance views, interactive 12-week trend charts, and prescriptive briefing panels).</w:t>
      </w:r>
    </w:p>
    <w:p w14:paraId="74EEC9EC" w14:textId="77777777" w:rsidR="0007011C" w:rsidRDefault="00000000">
      <w:pPr>
        <w:spacing w:before="80" w:after="40"/>
      </w:pPr>
      <w:r>
        <w:rPr>
          <w:rFonts w:ascii="Arial" w:eastAsia="Arial" w:hAnsi="Arial" w:cs="Arial"/>
          <w:b/>
          <w:bCs/>
          <w:color w:val="64748B"/>
          <w:sz w:val="18"/>
          <w:szCs w:val="18"/>
        </w:rPr>
        <w:t>KPI Coverage</w:t>
      </w:r>
    </w:p>
    <w:tbl>
      <w:tblPr>
        <w:tblW w:w="7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5"/>
        <w:gridCol w:w="1788"/>
        <w:gridCol w:w="2614"/>
      </w:tblGrid>
      <w:tr w:rsidR="00636C51" w14:paraId="15697F18" w14:textId="77777777" w:rsidTr="00636C51">
        <w:trPr>
          <w:tblHeader/>
        </w:trPr>
        <w:tc>
          <w:tcPr>
            <w:tcW w:w="3105"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07C55B26" w14:textId="77777777" w:rsidR="00636C51" w:rsidRDefault="00636C51">
            <w:pPr>
              <w:spacing w:before="40" w:after="40"/>
            </w:pPr>
            <w:r>
              <w:rPr>
                <w:rFonts w:ascii="Arial" w:eastAsia="Arial" w:hAnsi="Arial" w:cs="Arial"/>
                <w:b/>
                <w:bCs/>
                <w:color w:val="FFFFFF"/>
                <w:sz w:val="18"/>
                <w:szCs w:val="18"/>
              </w:rPr>
              <w:t>KPI</w:t>
            </w:r>
          </w:p>
        </w:tc>
        <w:tc>
          <w:tcPr>
            <w:tcW w:w="1788"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39467063" w14:textId="77777777" w:rsidR="00636C51" w:rsidRDefault="00636C51">
            <w:pPr>
              <w:spacing w:before="40" w:after="40"/>
            </w:pPr>
            <w:r>
              <w:rPr>
                <w:rFonts w:ascii="Arial" w:eastAsia="Arial" w:hAnsi="Arial" w:cs="Arial"/>
                <w:b/>
                <w:bCs/>
                <w:color w:val="FFFFFF"/>
                <w:sz w:val="18"/>
                <w:szCs w:val="18"/>
              </w:rPr>
              <w:t>SLA Target</w:t>
            </w:r>
          </w:p>
        </w:tc>
        <w:tc>
          <w:tcPr>
            <w:tcW w:w="2614"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5E52468D" w14:textId="77777777" w:rsidR="00636C51" w:rsidRDefault="00636C51">
            <w:pPr>
              <w:spacing w:before="40" w:after="40"/>
            </w:pPr>
            <w:r>
              <w:rPr>
                <w:rFonts w:ascii="Arial" w:eastAsia="Arial" w:hAnsi="Arial" w:cs="Arial"/>
                <w:b/>
                <w:bCs/>
                <w:color w:val="FFFFFF"/>
                <w:sz w:val="18"/>
                <w:szCs w:val="18"/>
              </w:rPr>
              <w:t>Governance View</w:t>
            </w:r>
          </w:p>
        </w:tc>
      </w:tr>
      <w:tr w:rsidR="00636C51" w14:paraId="4B5FDB3F" w14:textId="77777777" w:rsidTr="00636C51">
        <w:tc>
          <w:tcPr>
            <w:tcW w:w="3105"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0B3D7677" w14:textId="77777777" w:rsidR="00636C51" w:rsidRDefault="00636C51">
            <w:pPr>
              <w:spacing w:before="40" w:after="40"/>
            </w:pPr>
            <w:r>
              <w:rPr>
                <w:rFonts w:ascii="Arial" w:eastAsia="Arial" w:hAnsi="Arial" w:cs="Arial"/>
                <w:color w:val="1E293B"/>
                <w:sz w:val="19"/>
                <w:szCs w:val="19"/>
              </w:rPr>
              <w:t>Invoice SLA Breach</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F6764A" w14:textId="77777777" w:rsidR="00636C51" w:rsidRDefault="00636C51">
            <w:pPr>
              <w:spacing w:before="40" w:after="40"/>
            </w:pPr>
            <w:r>
              <w:rPr>
                <w:rFonts w:ascii="Arial" w:eastAsia="Arial" w:hAnsi="Arial" w:cs="Arial"/>
                <w:color w:val="1E293B"/>
                <w:sz w:val="19"/>
                <w:szCs w:val="19"/>
              </w:rPr>
              <w:t>= 0 (zero tolerance)</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24E487" w14:textId="77777777" w:rsidR="00636C51" w:rsidRDefault="00636C51">
            <w:pPr>
              <w:spacing w:before="40" w:after="40"/>
            </w:pPr>
            <w:r>
              <w:rPr>
                <w:rFonts w:ascii="Arial" w:eastAsia="Arial" w:hAnsi="Arial" w:cs="Arial"/>
                <w:color w:val="1E293B"/>
                <w:sz w:val="19"/>
                <w:szCs w:val="19"/>
              </w:rPr>
              <w:t>VP / Executive</w:t>
            </w:r>
          </w:p>
        </w:tc>
      </w:tr>
      <w:tr w:rsidR="00636C51" w14:paraId="473B400C" w14:textId="77777777" w:rsidTr="00636C51">
        <w:tc>
          <w:tcPr>
            <w:tcW w:w="3105"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6ACF50" w14:textId="77777777" w:rsidR="00636C51" w:rsidRDefault="00636C51">
            <w:pPr>
              <w:spacing w:before="40" w:after="40"/>
            </w:pPr>
            <w:r>
              <w:rPr>
                <w:rFonts w:ascii="Arial" w:eastAsia="Arial" w:hAnsi="Arial" w:cs="Arial"/>
                <w:color w:val="1E293B"/>
                <w:sz w:val="19"/>
                <w:szCs w:val="19"/>
              </w:rPr>
              <w:t>Payment Accuracy Rate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9FF839" w14:textId="77777777" w:rsidR="00636C51" w:rsidRDefault="00636C51">
            <w:pPr>
              <w:spacing w:before="40" w:after="40"/>
            </w:pPr>
            <w:r>
              <w:rPr>
                <w:rFonts w:ascii="Arial" w:eastAsia="Arial" w:hAnsi="Arial" w:cs="Arial"/>
                <w:color w:val="1E293B"/>
                <w:sz w:val="19"/>
                <w:szCs w:val="19"/>
              </w:rPr>
              <w:t>≥ 97%</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F02531C" w14:textId="77777777" w:rsidR="00636C51" w:rsidRDefault="00636C51">
            <w:pPr>
              <w:spacing w:before="40" w:after="40"/>
            </w:pPr>
            <w:r>
              <w:rPr>
                <w:rFonts w:ascii="Arial" w:eastAsia="Arial" w:hAnsi="Arial" w:cs="Arial"/>
                <w:color w:val="1E293B"/>
                <w:sz w:val="19"/>
                <w:szCs w:val="19"/>
              </w:rPr>
              <w:t>VP / Executive</w:t>
            </w:r>
          </w:p>
        </w:tc>
      </w:tr>
      <w:tr w:rsidR="00636C51" w14:paraId="47ADDB8E" w14:textId="77777777" w:rsidTr="00636C51">
        <w:tc>
          <w:tcPr>
            <w:tcW w:w="3105"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4714F555" w14:textId="77777777" w:rsidR="00636C51" w:rsidRDefault="00636C51">
            <w:pPr>
              <w:spacing w:before="40" w:after="40"/>
            </w:pPr>
            <w:r>
              <w:rPr>
                <w:rFonts w:ascii="Arial" w:eastAsia="Arial" w:hAnsi="Arial" w:cs="Arial"/>
                <w:color w:val="1E293B"/>
                <w:sz w:val="19"/>
                <w:szCs w:val="19"/>
              </w:rPr>
              <w:t>Dispute Rate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14AA14" w14:textId="77777777" w:rsidR="00636C51" w:rsidRDefault="00636C51">
            <w:pPr>
              <w:spacing w:before="40" w:after="40"/>
            </w:pPr>
            <w:r>
              <w:rPr>
                <w:rFonts w:ascii="Arial" w:eastAsia="Arial" w:hAnsi="Arial" w:cs="Arial"/>
                <w:color w:val="1E293B"/>
                <w:sz w:val="19"/>
                <w:szCs w:val="19"/>
              </w:rPr>
              <w:t>&lt; 3%</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CD7FD4" w14:textId="77777777" w:rsidR="00636C51" w:rsidRDefault="00636C51">
            <w:pPr>
              <w:spacing w:before="40" w:after="40"/>
            </w:pPr>
            <w:r>
              <w:rPr>
                <w:rFonts w:ascii="Arial" w:eastAsia="Arial" w:hAnsi="Arial" w:cs="Arial"/>
                <w:color w:val="1E293B"/>
                <w:sz w:val="19"/>
                <w:szCs w:val="19"/>
              </w:rPr>
              <w:t>VP / Executive</w:t>
            </w:r>
          </w:p>
        </w:tc>
      </w:tr>
      <w:tr w:rsidR="00636C51" w14:paraId="208F3F0F" w14:textId="77777777" w:rsidTr="00636C51">
        <w:tc>
          <w:tcPr>
            <w:tcW w:w="3105"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CCB3DE" w14:textId="77777777" w:rsidR="00636C51" w:rsidRDefault="00636C51">
            <w:pPr>
              <w:spacing w:before="40" w:after="40"/>
            </w:pPr>
            <w:r>
              <w:rPr>
                <w:rFonts w:ascii="Arial" w:eastAsia="Arial" w:hAnsi="Arial" w:cs="Arial"/>
                <w:color w:val="1E293B"/>
                <w:sz w:val="19"/>
                <w:szCs w:val="19"/>
              </w:rPr>
              <w:t>Invoice Volume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1D5153" w14:textId="77777777" w:rsidR="00636C51" w:rsidRDefault="00636C51">
            <w:pPr>
              <w:spacing w:before="40" w:after="40"/>
            </w:pPr>
            <w:r>
              <w:rPr>
                <w:rFonts w:ascii="Arial" w:eastAsia="Arial" w:hAnsi="Arial" w:cs="Arial"/>
                <w:color w:val="1E293B"/>
                <w:sz w:val="19"/>
                <w:szCs w:val="19"/>
              </w:rPr>
              <w:t>Baseline ~8,500/wk</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2C5926C" w14:textId="77777777" w:rsidR="00636C51" w:rsidRDefault="00636C51">
            <w:pPr>
              <w:spacing w:before="40" w:after="40"/>
            </w:pPr>
            <w:r>
              <w:rPr>
                <w:rFonts w:ascii="Arial" w:eastAsia="Arial" w:hAnsi="Arial" w:cs="Arial"/>
                <w:color w:val="1E293B"/>
                <w:sz w:val="19"/>
                <w:szCs w:val="19"/>
              </w:rPr>
              <w:t>VP / Executive</w:t>
            </w:r>
          </w:p>
        </w:tc>
      </w:tr>
      <w:tr w:rsidR="00636C51" w14:paraId="3315FC4B" w14:textId="77777777" w:rsidTr="00636C51">
        <w:tc>
          <w:tcPr>
            <w:tcW w:w="3105"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3272E5D0" w14:textId="77777777" w:rsidR="00636C51" w:rsidRDefault="00636C51">
            <w:pPr>
              <w:spacing w:before="40" w:after="40"/>
            </w:pPr>
            <w:r>
              <w:rPr>
                <w:rFonts w:ascii="Arial" w:eastAsia="Arial" w:hAnsi="Arial" w:cs="Arial"/>
                <w:color w:val="1E293B"/>
                <w:sz w:val="19"/>
                <w:szCs w:val="19"/>
              </w:rPr>
              <w:t>First-Pass Resolution Rate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E71B59" w14:textId="77777777" w:rsidR="00636C51" w:rsidRDefault="00636C51">
            <w:pPr>
              <w:spacing w:before="40" w:after="40"/>
            </w:pPr>
            <w:r>
              <w:rPr>
                <w:rFonts w:ascii="Arial" w:eastAsia="Arial" w:hAnsi="Arial" w:cs="Arial"/>
                <w:color w:val="1E293B"/>
                <w:sz w:val="19"/>
                <w:szCs w:val="19"/>
              </w:rPr>
              <w:t>≥ 95%</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9112DC7" w14:textId="77777777" w:rsidR="00636C51" w:rsidRDefault="00636C51">
            <w:pPr>
              <w:spacing w:before="40" w:after="40"/>
            </w:pPr>
            <w:r>
              <w:rPr>
                <w:rFonts w:ascii="Arial" w:eastAsia="Arial" w:hAnsi="Arial" w:cs="Arial"/>
                <w:color w:val="1E293B"/>
                <w:sz w:val="19"/>
                <w:szCs w:val="19"/>
              </w:rPr>
              <w:t>BPE / Operations</w:t>
            </w:r>
          </w:p>
        </w:tc>
      </w:tr>
      <w:tr w:rsidR="00636C51" w14:paraId="087EC7CA" w14:textId="77777777" w:rsidTr="00636C51">
        <w:tc>
          <w:tcPr>
            <w:tcW w:w="3105"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7C8A48" w14:textId="77777777" w:rsidR="00636C51" w:rsidRDefault="00636C51">
            <w:pPr>
              <w:spacing w:before="40" w:after="40"/>
            </w:pPr>
            <w:r>
              <w:rPr>
                <w:rFonts w:ascii="Arial" w:eastAsia="Arial" w:hAnsi="Arial" w:cs="Arial"/>
                <w:color w:val="1E293B"/>
                <w:sz w:val="19"/>
                <w:szCs w:val="19"/>
              </w:rPr>
              <w:t>Processing Cycle Time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DD1DF78" w14:textId="77777777" w:rsidR="00636C51" w:rsidRDefault="00636C51">
            <w:pPr>
              <w:spacing w:before="40" w:after="40"/>
            </w:pPr>
            <w:r>
              <w:rPr>
                <w:rFonts w:ascii="Arial" w:eastAsia="Arial" w:hAnsi="Arial" w:cs="Arial"/>
                <w:color w:val="1E293B"/>
                <w:sz w:val="19"/>
                <w:szCs w:val="19"/>
              </w:rPr>
              <w:t>&lt; 3 days</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776ED69" w14:textId="77777777" w:rsidR="00636C51" w:rsidRDefault="00636C51">
            <w:pPr>
              <w:spacing w:before="40" w:after="40"/>
            </w:pPr>
            <w:r>
              <w:rPr>
                <w:rFonts w:ascii="Arial" w:eastAsia="Arial" w:hAnsi="Arial" w:cs="Arial"/>
                <w:color w:val="1E293B"/>
                <w:sz w:val="19"/>
                <w:szCs w:val="19"/>
              </w:rPr>
              <w:t>BPE / Operations</w:t>
            </w:r>
          </w:p>
        </w:tc>
      </w:tr>
      <w:tr w:rsidR="00636C51" w14:paraId="179F1C93" w14:textId="77777777" w:rsidTr="00636C51">
        <w:tc>
          <w:tcPr>
            <w:tcW w:w="3105"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02C3406A" w14:textId="77777777" w:rsidR="00636C51" w:rsidRDefault="00636C51">
            <w:pPr>
              <w:spacing w:before="40" w:after="40"/>
            </w:pPr>
            <w:r>
              <w:rPr>
                <w:rFonts w:ascii="Arial" w:eastAsia="Arial" w:hAnsi="Arial" w:cs="Arial"/>
                <w:color w:val="1E293B"/>
                <w:sz w:val="19"/>
                <w:szCs w:val="19"/>
              </w:rPr>
              <w:t>Invoice Exception Rate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8AE68C" w14:textId="77777777" w:rsidR="00636C51" w:rsidRDefault="00636C51">
            <w:pPr>
              <w:spacing w:before="40" w:after="40"/>
            </w:pPr>
            <w:r>
              <w:rPr>
                <w:rFonts w:ascii="Arial" w:eastAsia="Arial" w:hAnsi="Arial" w:cs="Arial"/>
                <w:color w:val="1E293B"/>
                <w:sz w:val="19"/>
                <w:szCs w:val="19"/>
              </w:rPr>
              <w:t>&lt; 2%</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6BB39A4" w14:textId="77777777" w:rsidR="00636C51" w:rsidRDefault="00636C51">
            <w:pPr>
              <w:spacing w:before="40" w:after="40"/>
            </w:pPr>
            <w:r>
              <w:rPr>
                <w:rFonts w:ascii="Arial" w:eastAsia="Arial" w:hAnsi="Arial" w:cs="Arial"/>
                <w:color w:val="1E293B"/>
                <w:sz w:val="19"/>
                <w:szCs w:val="19"/>
              </w:rPr>
              <w:t>BPE / Operations</w:t>
            </w:r>
          </w:p>
        </w:tc>
      </w:tr>
      <w:tr w:rsidR="00636C51" w14:paraId="75F6D645" w14:textId="77777777" w:rsidTr="00636C51">
        <w:tc>
          <w:tcPr>
            <w:tcW w:w="3105"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17FEA1" w14:textId="77777777" w:rsidR="00636C51" w:rsidRDefault="00636C51">
            <w:pPr>
              <w:spacing w:before="40" w:after="40"/>
            </w:pPr>
            <w:r>
              <w:rPr>
                <w:rFonts w:ascii="Arial" w:eastAsia="Arial" w:hAnsi="Arial" w:cs="Arial"/>
                <w:color w:val="1E293B"/>
                <w:sz w:val="19"/>
                <w:szCs w:val="19"/>
              </w:rPr>
              <w:t>Stuck Invoice Count</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904E6B" w14:textId="77777777" w:rsidR="00636C51" w:rsidRDefault="00636C51">
            <w:pPr>
              <w:spacing w:before="40" w:after="40"/>
            </w:pPr>
            <w:r>
              <w:rPr>
                <w:rFonts w:ascii="Arial" w:eastAsia="Arial" w:hAnsi="Arial" w:cs="Arial"/>
                <w:color w:val="1E293B"/>
                <w:sz w:val="19"/>
                <w:szCs w:val="19"/>
              </w:rPr>
              <w:t>&lt; 20 invoices</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01D0FE1" w14:textId="77777777" w:rsidR="00636C51" w:rsidRDefault="00636C51">
            <w:pPr>
              <w:spacing w:before="40" w:after="40"/>
            </w:pPr>
            <w:r>
              <w:rPr>
                <w:rFonts w:ascii="Arial" w:eastAsia="Arial" w:hAnsi="Arial" w:cs="Arial"/>
                <w:color w:val="1E293B"/>
                <w:sz w:val="19"/>
                <w:szCs w:val="19"/>
              </w:rPr>
              <w:t>BPE / Operations</w:t>
            </w:r>
          </w:p>
        </w:tc>
      </w:tr>
      <w:tr w:rsidR="00636C51" w14:paraId="42DE18A5" w14:textId="77777777" w:rsidTr="00636C51">
        <w:tc>
          <w:tcPr>
            <w:tcW w:w="3105"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1987035D" w14:textId="77777777" w:rsidR="00636C51" w:rsidRDefault="00636C51">
            <w:pPr>
              <w:spacing w:before="40" w:after="40"/>
            </w:pPr>
            <w:r>
              <w:rPr>
                <w:rFonts w:ascii="Arial" w:eastAsia="Arial" w:hAnsi="Arial" w:cs="Arial"/>
                <w:color w:val="1E293B"/>
                <w:sz w:val="19"/>
                <w:szCs w:val="19"/>
              </w:rPr>
              <w:t>Dispute Resolution Rate</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98D708" w14:textId="77777777" w:rsidR="00636C51" w:rsidRDefault="00636C51">
            <w:pPr>
              <w:spacing w:before="40" w:after="40"/>
            </w:pPr>
            <w:r>
              <w:rPr>
                <w:rFonts w:ascii="Arial" w:eastAsia="Arial" w:hAnsi="Arial" w:cs="Arial"/>
                <w:color w:val="1E293B"/>
                <w:sz w:val="19"/>
                <w:szCs w:val="19"/>
              </w:rPr>
              <w:t>≥ 90%</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7E3C59" w14:textId="77777777" w:rsidR="00636C51" w:rsidRDefault="00636C51">
            <w:pPr>
              <w:spacing w:before="40" w:after="40"/>
            </w:pPr>
            <w:r>
              <w:rPr>
                <w:rFonts w:ascii="Arial" w:eastAsia="Arial" w:hAnsi="Arial" w:cs="Arial"/>
                <w:color w:val="1E293B"/>
                <w:sz w:val="19"/>
                <w:szCs w:val="19"/>
              </w:rPr>
              <w:t>BPE / Operations</w:t>
            </w:r>
          </w:p>
        </w:tc>
      </w:tr>
      <w:tr w:rsidR="00636C51" w14:paraId="1A4492D7" w14:textId="77777777" w:rsidTr="00636C51">
        <w:tc>
          <w:tcPr>
            <w:tcW w:w="3105"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D644483" w14:textId="77777777" w:rsidR="00636C51" w:rsidRDefault="00636C51">
            <w:pPr>
              <w:spacing w:before="40" w:after="40"/>
            </w:pPr>
            <w:r>
              <w:rPr>
                <w:rFonts w:ascii="Arial" w:eastAsia="Arial" w:hAnsi="Arial" w:cs="Arial"/>
                <w:color w:val="1E293B"/>
                <w:sz w:val="19"/>
                <w:szCs w:val="19"/>
              </w:rPr>
              <w:t>Manual Processing Hours</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AA535DF" w14:textId="77777777" w:rsidR="00636C51" w:rsidRDefault="00636C51">
            <w:pPr>
              <w:spacing w:before="40" w:after="40"/>
            </w:pPr>
            <w:r>
              <w:rPr>
                <w:rFonts w:ascii="Arial" w:eastAsia="Arial" w:hAnsi="Arial" w:cs="Arial"/>
                <w:color w:val="1E293B"/>
                <w:sz w:val="19"/>
                <w:szCs w:val="19"/>
              </w:rPr>
              <w:t>&lt; 200 hrs/week</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109582" w14:textId="77777777" w:rsidR="00636C51" w:rsidRDefault="00636C51">
            <w:pPr>
              <w:spacing w:before="40" w:after="40"/>
            </w:pPr>
            <w:r>
              <w:rPr>
                <w:rFonts w:ascii="Arial" w:eastAsia="Arial" w:hAnsi="Arial" w:cs="Arial"/>
                <w:color w:val="1E293B"/>
                <w:sz w:val="19"/>
                <w:szCs w:val="19"/>
              </w:rPr>
              <w:t>BPE / Operations</w:t>
            </w:r>
          </w:p>
        </w:tc>
      </w:tr>
      <w:tr w:rsidR="00636C51" w14:paraId="1F641AD2" w14:textId="77777777" w:rsidTr="00636C51">
        <w:tc>
          <w:tcPr>
            <w:tcW w:w="3105"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C20A30" w14:textId="77777777" w:rsidR="00636C51" w:rsidRDefault="00636C51">
            <w:pPr>
              <w:spacing w:before="40" w:after="40"/>
            </w:pPr>
            <w:r>
              <w:rPr>
                <w:rFonts w:ascii="Arial" w:eastAsia="Arial" w:hAnsi="Arial" w:cs="Arial"/>
                <w:color w:val="1E293B"/>
                <w:sz w:val="19"/>
                <w:szCs w:val="19"/>
              </w:rPr>
              <w:t>Open Dispute Count</w:t>
            </w:r>
          </w:p>
        </w:tc>
        <w:tc>
          <w:tcPr>
            <w:tcW w:w="1788"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0DA33C" w14:textId="564F3254" w:rsidR="00636C51" w:rsidRDefault="00636C51">
            <w:pPr>
              <w:spacing w:before="40" w:after="40"/>
            </w:pPr>
            <w:r>
              <w:rPr>
                <w:rFonts w:ascii="Arial" w:eastAsia="Arial" w:hAnsi="Arial" w:cs="Arial"/>
                <w:color w:val="1E293B"/>
                <w:sz w:val="19"/>
                <w:szCs w:val="19"/>
              </w:rPr>
              <w:t>Volume tracker</w:t>
            </w:r>
          </w:p>
        </w:tc>
        <w:tc>
          <w:tcPr>
            <w:tcW w:w="2614"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43C1FCB" w14:textId="7C0E3F1F" w:rsidR="00636C51" w:rsidRDefault="00636C51">
            <w:pPr>
              <w:spacing w:before="40" w:after="40"/>
            </w:pPr>
            <w:r>
              <w:rPr>
                <w:rFonts w:ascii="Arial" w:eastAsia="Arial" w:hAnsi="Arial" w:cs="Arial"/>
                <w:color w:val="1E293B"/>
                <w:sz w:val="19"/>
                <w:szCs w:val="19"/>
              </w:rPr>
              <w:t>BPE / Operations</w:t>
            </w:r>
          </w:p>
        </w:tc>
      </w:tr>
    </w:tbl>
    <w:p w14:paraId="5E659B5E" w14:textId="77777777" w:rsidR="0007011C" w:rsidRDefault="0007011C">
      <w:pPr>
        <w:spacing w:after="120"/>
      </w:pPr>
    </w:p>
    <w:p w14:paraId="7B063E03" w14:textId="77777777" w:rsidR="0007011C" w:rsidRDefault="00000000">
      <w:pPr>
        <w:spacing w:before="80" w:after="40"/>
      </w:pPr>
      <w:r>
        <w:rPr>
          <w:rFonts w:ascii="Arial" w:eastAsia="Arial" w:hAnsi="Arial" w:cs="Arial"/>
          <w:b/>
          <w:bCs/>
          <w:color w:val="64748B"/>
          <w:sz w:val="18"/>
          <w:szCs w:val="18"/>
        </w:rPr>
        <w:t>AI Agent — Dual Persona System</w:t>
      </w:r>
    </w:p>
    <w:p w14:paraId="3985E344" w14:textId="77777777" w:rsidR="0007011C" w:rsidRDefault="00000000">
      <w:pPr>
        <w:spacing w:before="40" w:after="60"/>
      </w:pPr>
      <w:r>
        <w:rPr>
          <w:rFonts w:ascii="Arial" w:eastAsia="Arial" w:hAnsi="Arial" w:cs="Arial"/>
          <w:color w:val="1E293B"/>
        </w:rPr>
        <w:t xml:space="preserve">Two AI personas are deployed, each calibrated to its audience. The </w:t>
      </w:r>
      <w:r>
        <w:rPr>
          <w:rFonts w:ascii="Arial" w:eastAsia="Arial" w:hAnsi="Arial" w:cs="Arial"/>
          <w:b/>
          <w:bCs/>
          <w:color w:val="2C5F8A"/>
        </w:rPr>
        <w:t>Executive Copilot</w:t>
      </w:r>
      <w:r>
        <w:rPr>
          <w:rFonts w:ascii="Arial" w:eastAsia="Arial" w:hAnsi="Arial" w:cs="Arial"/>
          <w:color w:val="1E293B"/>
        </w:rPr>
        <w:t xml:space="preserve"> frames each breach in terms of financial exposure, capital risk, and governance accountability with language suited to VP-level steering. The </w:t>
      </w:r>
      <w:r>
        <w:rPr>
          <w:rFonts w:ascii="Arial" w:eastAsia="Arial" w:hAnsi="Arial" w:cs="Arial"/>
          <w:b/>
          <w:bCs/>
          <w:color w:val="1A7F5A"/>
        </w:rPr>
        <w:t>Operations Copilot</w:t>
      </w:r>
      <w:r>
        <w:rPr>
          <w:rFonts w:ascii="Arial" w:eastAsia="Arial" w:hAnsi="Arial" w:cs="Arial"/>
          <w:color w:val="1E293B"/>
        </w:rPr>
        <w:t xml:space="preserve"> delivers tactical root cause analysis and three ranked corrective actions with expected operational impact. Both agents simultaneously ingest structured KPI variance data and qualitative operational incident notes, producing correlated, evidence-based output with no human drafting required.</w:t>
      </w:r>
    </w:p>
    <w:p w14:paraId="606C6A03" w14:textId="77777777" w:rsidR="00FB750B" w:rsidRDefault="00000000" w:rsidP="00FB750B">
      <w:pPr>
        <w:spacing w:after="60"/>
      </w:pPr>
      <w:r>
        <w:rPr>
          <w:rFonts w:ascii="Arial" w:eastAsia="Arial" w:hAnsi="Arial" w:cs="Arial"/>
          <w:i/>
          <w:iCs/>
          <w:color w:val="64748B"/>
          <w:sz w:val="18"/>
          <w:szCs w:val="18"/>
        </w:rPr>
        <w:t>Model: Claude Haiku (Anthropic). Output format: structured JSON schema enforced at the prompt level — deterministic, field-by-field rendered, no free-form generation risk.</w:t>
      </w:r>
    </w:p>
    <w:p w14:paraId="3A2BEBC7" w14:textId="77777777" w:rsidR="00FB750B" w:rsidRDefault="00FB750B" w:rsidP="00FB750B">
      <w:pPr>
        <w:spacing w:after="60"/>
      </w:pPr>
    </w:p>
    <w:p w14:paraId="42010058" w14:textId="77777777" w:rsidR="0007011C" w:rsidRDefault="00000000" w:rsidP="00FB750B">
      <w:pPr>
        <w:pBdr>
          <w:bottom w:val="single" w:sz="4" w:space="1" w:color="auto"/>
        </w:pBdr>
        <w:spacing w:after="60"/>
      </w:pPr>
      <w:r>
        <w:rPr>
          <w:rFonts w:ascii="Arial" w:eastAsia="Arial" w:hAnsi="Arial" w:cs="Arial"/>
          <w:b/>
          <w:bCs/>
          <w:color w:val="2C5F8A"/>
          <w:sz w:val="22"/>
          <w:szCs w:val="22"/>
        </w:rPr>
        <w:t>4 Accuracy &amp; Data Quality</w:t>
      </w:r>
    </w:p>
    <w:p w14:paraId="3B76FBA6" w14:textId="77777777" w:rsidR="0007011C" w:rsidRDefault="00000000">
      <w:pPr>
        <w:spacing w:before="60" w:after="80"/>
        <w:rPr>
          <w:rFonts w:ascii="Arial" w:eastAsia="Arial" w:hAnsi="Arial" w:cs="Arial"/>
          <w:color w:val="1E293B"/>
        </w:rPr>
      </w:pPr>
      <w:r>
        <w:rPr>
          <w:rFonts w:ascii="Arial" w:eastAsia="Arial" w:hAnsi="Arial" w:cs="Arial"/>
          <w:color w:val="1E293B"/>
        </w:rPr>
        <w:t>v1.0 runs on 16 weeks of simulated data covering two distinct incident events: an ERP system failure (Weeks 8–12) and a staffing and volume pressure event (Weeks 14–16). KPI values are formula-derived using a validated workforce capacity model. All anomaly thresholds are configurable and fully documented in the Technical Requirements Document (TRD). AI output is rendered field-by-field from a structured JSON schema whereby hallucination risk in the briefing format is eliminated by design.</w:t>
      </w:r>
    </w:p>
    <w:p w14:paraId="5EA0D450" w14:textId="77777777" w:rsidR="00FB750B" w:rsidRDefault="00FB750B">
      <w:pPr>
        <w:spacing w:before="60" w:after="80"/>
        <w:rPr>
          <w:rFonts w:ascii="Arial" w:eastAsia="Arial" w:hAnsi="Arial" w:cs="Arial"/>
          <w:color w:val="1E293B"/>
        </w:rPr>
      </w:pPr>
    </w:p>
    <w:p w14:paraId="5AFDE611" w14:textId="77777777" w:rsidR="00FB750B" w:rsidRDefault="00FB750B">
      <w:pPr>
        <w:spacing w:before="60" w:after="80"/>
        <w:rPr>
          <w:rFonts w:ascii="Arial" w:eastAsia="Arial" w:hAnsi="Arial" w:cs="Arial"/>
          <w:color w:val="1E293B"/>
        </w:rPr>
      </w:pPr>
    </w:p>
    <w:p w14:paraId="1AA831EC" w14:textId="77777777" w:rsidR="0007011C" w:rsidRDefault="00000000">
      <w:pPr>
        <w:pBdr>
          <w:bottom w:val="single" w:sz="4" w:space="4" w:color="2C5F8A"/>
        </w:pBdr>
        <w:spacing w:before="180" w:after="80"/>
      </w:pPr>
      <w:r>
        <w:rPr>
          <w:rFonts w:ascii="Arial" w:eastAsia="Arial" w:hAnsi="Arial" w:cs="Arial"/>
          <w:b/>
          <w:bCs/>
          <w:color w:val="2C5F8A"/>
          <w:sz w:val="22"/>
          <w:szCs w:val="22"/>
        </w:rPr>
        <w:t>5   Risks &amp; Mitigations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400"/>
        <w:gridCol w:w="5046"/>
      </w:tblGrid>
      <w:tr w:rsidR="0007011C" w14:paraId="3926624E" w14:textId="77777777">
        <w:trPr>
          <w:tblHeader/>
        </w:trPr>
        <w:tc>
          <w:tcPr>
            <w:tcW w:w="33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418FEFD2" w14:textId="77777777" w:rsidR="0007011C" w:rsidRDefault="00000000">
            <w:pPr>
              <w:spacing w:before="40" w:after="40"/>
            </w:pPr>
            <w:r>
              <w:rPr>
                <w:rFonts w:ascii="Arial" w:eastAsia="Arial" w:hAnsi="Arial" w:cs="Arial"/>
                <w:b/>
                <w:bCs/>
                <w:color w:val="FFFFFF"/>
                <w:sz w:val="18"/>
                <w:szCs w:val="18"/>
              </w:rPr>
              <w:t>Risk</w:t>
            </w:r>
          </w:p>
        </w:tc>
        <w:tc>
          <w:tcPr>
            <w:tcW w:w="14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49F010E6" w14:textId="77777777" w:rsidR="0007011C" w:rsidRDefault="00000000">
            <w:pPr>
              <w:spacing w:before="40" w:after="40"/>
            </w:pPr>
            <w:r>
              <w:rPr>
                <w:rFonts w:ascii="Arial" w:eastAsia="Arial" w:hAnsi="Arial" w:cs="Arial"/>
                <w:b/>
                <w:bCs/>
                <w:color w:val="FFFFFF"/>
                <w:sz w:val="18"/>
                <w:szCs w:val="18"/>
              </w:rPr>
              <w:t>Likelihood</w:t>
            </w:r>
          </w:p>
        </w:tc>
        <w:tc>
          <w:tcPr>
            <w:tcW w:w="5046"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19C51795" w14:textId="77777777" w:rsidR="0007011C" w:rsidRDefault="00000000">
            <w:pPr>
              <w:spacing w:before="40" w:after="40"/>
            </w:pPr>
            <w:r>
              <w:rPr>
                <w:rFonts w:ascii="Arial" w:eastAsia="Arial" w:hAnsi="Arial" w:cs="Arial"/>
                <w:b/>
                <w:bCs/>
                <w:color w:val="FFFFFF"/>
                <w:sz w:val="18"/>
                <w:szCs w:val="18"/>
              </w:rPr>
              <w:t>Mitigation</w:t>
            </w:r>
          </w:p>
        </w:tc>
      </w:tr>
      <w:tr w:rsidR="0007011C" w14:paraId="48B3CEC4" w14:textId="77777777">
        <w:tc>
          <w:tcPr>
            <w:tcW w:w="3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0962680" w14:textId="77777777" w:rsidR="0007011C" w:rsidRDefault="00000000">
            <w:pPr>
              <w:spacing w:before="40" w:after="40"/>
            </w:pPr>
            <w:r>
              <w:rPr>
                <w:rFonts w:ascii="Arial" w:eastAsia="Arial" w:hAnsi="Arial" w:cs="Arial"/>
                <w:color w:val="1E293B"/>
                <w:sz w:val="19"/>
                <w:szCs w:val="19"/>
              </w:rPr>
              <w:t>AI output inaccuracy</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4FC002" w14:textId="77777777" w:rsidR="0007011C" w:rsidRDefault="00000000">
            <w:pPr>
              <w:spacing w:before="40" w:after="40"/>
            </w:pPr>
            <w:r>
              <w:rPr>
                <w:rFonts w:ascii="Arial" w:eastAsia="Arial" w:hAnsi="Arial" w:cs="Arial"/>
                <w:b/>
                <w:bCs/>
                <w:color w:val="1A7F5A"/>
                <w:sz w:val="19"/>
                <w:szCs w:val="19"/>
              </w:rPr>
              <w:t>Low</w:t>
            </w:r>
          </w:p>
        </w:tc>
        <w:tc>
          <w:tcPr>
            <w:tcW w:w="50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85FFD0" w14:textId="77777777" w:rsidR="0007011C" w:rsidRDefault="00000000">
            <w:pPr>
              <w:spacing w:before="40" w:after="40"/>
            </w:pPr>
            <w:r>
              <w:rPr>
                <w:rFonts w:ascii="Arial" w:eastAsia="Arial" w:hAnsi="Arial" w:cs="Arial"/>
                <w:color w:val="1E293B"/>
                <w:sz w:val="19"/>
                <w:szCs w:val="19"/>
              </w:rPr>
              <w:t>Structured JSON schema enforced at prompt level; output rendered field-by-field. No free-text generation in governance briefing.</w:t>
            </w:r>
          </w:p>
        </w:tc>
      </w:tr>
      <w:tr w:rsidR="0007011C" w14:paraId="711D48EA" w14:textId="77777777">
        <w:tc>
          <w:tcPr>
            <w:tcW w:w="33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351006F3" w14:textId="77777777" w:rsidR="0007011C" w:rsidRDefault="00000000">
            <w:pPr>
              <w:spacing w:before="40" w:after="40"/>
            </w:pPr>
            <w:r>
              <w:rPr>
                <w:rFonts w:ascii="Arial" w:eastAsia="Arial" w:hAnsi="Arial" w:cs="Arial"/>
                <w:color w:val="1E293B"/>
                <w:sz w:val="19"/>
                <w:szCs w:val="19"/>
              </w:rPr>
              <w:t>Data quality dependency (live data in v2.0)</w:t>
            </w:r>
          </w:p>
        </w:tc>
        <w:tc>
          <w:tcPr>
            <w:tcW w:w="14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2E778A3" w14:textId="77777777" w:rsidR="0007011C" w:rsidRDefault="00000000">
            <w:pPr>
              <w:spacing w:before="40" w:after="40"/>
            </w:pPr>
            <w:r>
              <w:rPr>
                <w:rFonts w:ascii="Arial" w:eastAsia="Arial" w:hAnsi="Arial" w:cs="Arial"/>
                <w:b/>
                <w:bCs/>
                <w:color w:val="D97706"/>
                <w:sz w:val="19"/>
                <w:szCs w:val="19"/>
              </w:rPr>
              <w:t>Medium</w:t>
            </w:r>
          </w:p>
        </w:tc>
        <w:tc>
          <w:tcPr>
            <w:tcW w:w="5046"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450BCF52" w14:textId="77777777" w:rsidR="0007011C" w:rsidRDefault="00000000">
            <w:pPr>
              <w:spacing w:before="40" w:after="40"/>
            </w:pPr>
            <w:r>
              <w:rPr>
                <w:rFonts w:ascii="Arial" w:eastAsia="Arial" w:hAnsi="Arial" w:cs="Arial"/>
                <w:color w:val="1E293B"/>
                <w:sz w:val="19"/>
                <w:szCs w:val="19"/>
              </w:rPr>
              <w:t>Anomaly engine flags data gaps. GDPR and data access review required before any live ERP or warehouse connection.</w:t>
            </w:r>
          </w:p>
        </w:tc>
      </w:tr>
      <w:tr w:rsidR="0007011C" w14:paraId="350F4481" w14:textId="77777777">
        <w:tc>
          <w:tcPr>
            <w:tcW w:w="3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8327D5" w14:textId="77777777" w:rsidR="0007011C" w:rsidRDefault="00000000">
            <w:pPr>
              <w:spacing w:before="40" w:after="40"/>
            </w:pPr>
            <w:r>
              <w:rPr>
                <w:rFonts w:ascii="Arial" w:eastAsia="Arial" w:hAnsi="Arial" w:cs="Arial"/>
                <w:color w:val="1E293B"/>
                <w:sz w:val="19"/>
                <w:szCs w:val="19"/>
              </w:rPr>
              <w:t>API key exposure</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19BBC5E" w14:textId="77777777" w:rsidR="0007011C" w:rsidRDefault="00000000">
            <w:pPr>
              <w:spacing w:before="40" w:after="40"/>
            </w:pPr>
            <w:r>
              <w:rPr>
                <w:rFonts w:ascii="Arial" w:eastAsia="Arial" w:hAnsi="Arial" w:cs="Arial"/>
                <w:b/>
                <w:bCs/>
                <w:color w:val="1A7F5A"/>
                <w:sz w:val="19"/>
                <w:szCs w:val="19"/>
              </w:rPr>
              <w:t>Low</w:t>
            </w:r>
          </w:p>
        </w:tc>
        <w:tc>
          <w:tcPr>
            <w:tcW w:w="50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963F83" w14:textId="77777777" w:rsidR="0007011C" w:rsidRDefault="00000000">
            <w:pPr>
              <w:spacing w:before="40" w:after="40"/>
            </w:pPr>
            <w:r>
              <w:rPr>
                <w:rFonts w:ascii="Arial" w:eastAsia="Arial" w:hAnsi="Arial" w:cs="Arial"/>
                <w:color w:val="1E293B"/>
                <w:sz w:val="19"/>
                <w:szCs w:val="19"/>
              </w:rPr>
              <w:t>Key stored in Streamlit Secrets Manager. Never committed to source control. Rotation policy to be set at post-launch handover.</w:t>
            </w:r>
          </w:p>
        </w:tc>
      </w:tr>
      <w:tr w:rsidR="0007011C" w14:paraId="003B92D6" w14:textId="77777777">
        <w:tc>
          <w:tcPr>
            <w:tcW w:w="33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25C3E062" w14:textId="77777777" w:rsidR="0007011C" w:rsidRDefault="00000000">
            <w:pPr>
              <w:spacing w:before="40" w:after="40"/>
            </w:pPr>
            <w:r>
              <w:rPr>
                <w:rFonts w:ascii="Arial" w:eastAsia="Arial" w:hAnsi="Arial" w:cs="Arial"/>
                <w:color w:val="1E293B"/>
                <w:sz w:val="19"/>
                <w:szCs w:val="19"/>
              </w:rPr>
              <w:t>v1.0 simulated data</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83C912" w14:textId="77777777" w:rsidR="0007011C" w:rsidRDefault="00000000">
            <w:pPr>
              <w:spacing w:before="40" w:after="40"/>
            </w:pPr>
            <w:r>
              <w:rPr>
                <w:rFonts w:ascii="Arial" w:eastAsia="Arial" w:hAnsi="Arial" w:cs="Arial"/>
                <w:b/>
                <w:bCs/>
                <w:color w:val="64748B"/>
                <w:sz w:val="19"/>
                <w:szCs w:val="19"/>
              </w:rPr>
              <w:t>Known</w:t>
            </w:r>
          </w:p>
        </w:tc>
        <w:tc>
          <w:tcPr>
            <w:tcW w:w="5046"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68C59D97" w14:textId="77777777" w:rsidR="0007011C" w:rsidRDefault="00000000">
            <w:pPr>
              <w:spacing w:before="40" w:after="40"/>
            </w:pPr>
            <w:r>
              <w:rPr>
                <w:rFonts w:ascii="Arial" w:eastAsia="Arial" w:hAnsi="Arial" w:cs="Arial"/>
                <w:color w:val="1E293B"/>
                <w:sz w:val="19"/>
                <w:szCs w:val="19"/>
              </w:rPr>
              <w:t>Clearly scoped as portfolio demonstration. v2.0 live data path — Snowflake/BigQuery connector, dbt models, Airflow scheduling — is fully documented in the Implementation Plan.</w:t>
            </w:r>
          </w:p>
        </w:tc>
      </w:tr>
      <w:tr w:rsidR="0007011C" w14:paraId="7F38ECBF" w14:textId="77777777">
        <w:tc>
          <w:tcPr>
            <w:tcW w:w="3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7CBB37" w14:textId="77777777" w:rsidR="0007011C" w:rsidRDefault="00000000">
            <w:pPr>
              <w:spacing w:before="40" w:after="40"/>
            </w:pPr>
            <w:r>
              <w:rPr>
                <w:rFonts w:ascii="Arial" w:eastAsia="Arial" w:hAnsi="Arial" w:cs="Arial"/>
                <w:color w:val="1E293B"/>
                <w:sz w:val="19"/>
                <w:szCs w:val="19"/>
              </w:rPr>
              <w:t>Cold-start delay on Streamlit Cloud</w:t>
            </w:r>
          </w:p>
        </w:tc>
        <w:tc>
          <w:tcPr>
            <w:tcW w:w="1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26EB8C" w14:textId="77777777" w:rsidR="0007011C" w:rsidRDefault="00000000">
            <w:pPr>
              <w:spacing w:before="40" w:after="40"/>
            </w:pPr>
            <w:r>
              <w:rPr>
                <w:rFonts w:ascii="Arial" w:eastAsia="Arial" w:hAnsi="Arial" w:cs="Arial"/>
                <w:b/>
                <w:bCs/>
                <w:color w:val="1A7F5A"/>
                <w:sz w:val="19"/>
                <w:szCs w:val="19"/>
              </w:rPr>
              <w:t>Low</w:t>
            </w:r>
          </w:p>
        </w:tc>
        <w:tc>
          <w:tcPr>
            <w:tcW w:w="50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273569" w14:textId="77777777" w:rsidR="0007011C" w:rsidRDefault="00000000">
            <w:pPr>
              <w:spacing w:before="40" w:after="40"/>
            </w:pPr>
            <w:r>
              <w:rPr>
                <w:rFonts w:ascii="Arial" w:eastAsia="Arial" w:hAnsi="Arial" w:cs="Arial"/>
                <w:color w:val="1E293B"/>
                <w:sz w:val="19"/>
                <w:szCs w:val="19"/>
              </w:rPr>
              <w:t>DB auto-init guard runs on startup; approximately 5 seconds on first load, then cached. No data loss risk.</w:t>
            </w:r>
          </w:p>
        </w:tc>
      </w:tr>
    </w:tbl>
    <w:p w14:paraId="45DF5D9D" w14:textId="77777777" w:rsidR="0007011C" w:rsidRDefault="0007011C">
      <w:pPr>
        <w:spacing w:after="80"/>
      </w:pPr>
    </w:p>
    <w:p w14:paraId="25171E30" w14:textId="77777777" w:rsidR="0007011C" w:rsidRDefault="00000000">
      <w:pPr>
        <w:pBdr>
          <w:bottom w:val="single" w:sz="4" w:space="4" w:color="2C5F8A"/>
        </w:pBdr>
        <w:spacing w:before="180" w:after="80"/>
      </w:pPr>
      <w:r>
        <w:rPr>
          <w:rFonts w:ascii="Arial" w:eastAsia="Arial" w:hAnsi="Arial" w:cs="Arial"/>
          <w:b/>
          <w:bCs/>
          <w:color w:val="2C5F8A"/>
          <w:sz w:val="22"/>
          <w:szCs w:val="22"/>
        </w:rPr>
        <w:t>6   Operating Costs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07011C" w14:paraId="29772D59"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02EDDC3A" w14:textId="77777777" w:rsidR="0007011C" w:rsidRDefault="00000000">
            <w:pPr>
              <w:spacing w:before="40" w:after="40"/>
            </w:pPr>
            <w:r>
              <w:rPr>
                <w:rFonts w:ascii="Arial" w:eastAsia="Arial" w:hAnsi="Arial" w:cs="Arial"/>
                <w:b/>
                <w:bCs/>
                <w:color w:val="FFFFFF"/>
                <w:sz w:val="18"/>
                <w:szCs w:val="18"/>
              </w:rPr>
              <w:t>Item</w:t>
            </w:r>
          </w:p>
        </w:tc>
        <w:tc>
          <w:tcPr>
            <w:tcW w:w="6746"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7A2646CD" w14:textId="77777777" w:rsidR="0007011C" w:rsidRDefault="00000000">
            <w:pPr>
              <w:spacing w:before="40" w:after="40"/>
            </w:pPr>
            <w:r>
              <w:rPr>
                <w:rFonts w:ascii="Arial" w:eastAsia="Arial" w:hAnsi="Arial" w:cs="Arial"/>
                <w:b/>
                <w:bCs/>
                <w:color w:val="FFFFFF"/>
                <w:sz w:val="18"/>
                <w:szCs w:val="18"/>
              </w:rPr>
              <w:t>Cost</w:t>
            </w:r>
          </w:p>
        </w:tc>
      </w:tr>
      <w:tr w:rsidR="0007011C" w14:paraId="0A8E6D5A" w14:textId="77777777">
        <w:tc>
          <w:tcPr>
            <w:tcW w:w="30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5C137816" w14:textId="77777777" w:rsidR="0007011C" w:rsidRDefault="00000000">
            <w:pPr>
              <w:spacing w:before="40" w:after="40"/>
            </w:pPr>
            <w:r>
              <w:rPr>
                <w:rFonts w:ascii="Arial" w:eastAsia="Arial" w:hAnsi="Arial" w:cs="Arial"/>
                <w:color w:val="1E293B"/>
                <w:sz w:val="19"/>
                <w:szCs w:val="19"/>
              </w:rPr>
              <w:t>Streamlit Community Cloud</w:t>
            </w:r>
          </w:p>
        </w:tc>
        <w:tc>
          <w:tcPr>
            <w:tcW w:w="6746"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71F2CC24" w14:textId="77777777" w:rsidR="0007011C" w:rsidRDefault="00000000">
            <w:pPr>
              <w:spacing w:before="40" w:after="40"/>
            </w:pPr>
            <w:r>
              <w:rPr>
                <w:rFonts w:ascii="Arial" w:eastAsia="Arial" w:hAnsi="Arial" w:cs="Arial"/>
                <w:color w:val="1E293B"/>
                <w:sz w:val="19"/>
                <w:szCs w:val="19"/>
              </w:rPr>
              <w:t>Free tier — no infrastructure cost</w:t>
            </w:r>
          </w:p>
        </w:tc>
      </w:tr>
      <w:tr w:rsidR="0007011C" w14:paraId="4F4915F6"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505DB4F" w14:textId="77777777" w:rsidR="0007011C" w:rsidRDefault="00000000">
            <w:pPr>
              <w:spacing w:before="40" w:after="40"/>
            </w:pPr>
            <w:r>
              <w:rPr>
                <w:rFonts w:ascii="Arial" w:eastAsia="Arial" w:hAnsi="Arial" w:cs="Arial"/>
                <w:color w:val="1E293B"/>
                <w:sz w:val="19"/>
                <w:szCs w:val="19"/>
              </w:rPr>
              <w:t>Claude Haiku API (per briefing)</w:t>
            </w:r>
          </w:p>
        </w:tc>
        <w:tc>
          <w:tcPr>
            <w:tcW w:w="67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BB0F5D" w14:textId="77777777" w:rsidR="0007011C" w:rsidRDefault="00000000">
            <w:pPr>
              <w:spacing w:before="40" w:after="40"/>
            </w:pPr>
            <w:r>
              <w:rPr>
                <w:rFonts w:ascii="Arial" w:eastAsia="Arial" w:hAnsi="Arial" w:cs="Arial"/>
                <w:color w:val="1E293B"/>
                <w:sz w:val="19"/>
                <w:szCs w:val="19"/>
              </w:rPr>
              <w:t>~$0.0025 per generation (2 API calls × ~500 tokens). At 10 briefings/week: under $0.10/week.</w:t>
            </w:r>
          </w:p>
        </w:tc>
      </w:tr>
      <w:tr w:rsidR="0007011C" w14:paraId="6C06C218" w14:textId="77777777">
        <w:tc>
          <w:tcPr>
            <w:tcW w:w="30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41DC5A87" w14:textId="77777777" w:rsidR="0007011C" w:rsidRDefault="00000000">
            <w:pPr>
              <w:spacing w:before="40" w:after="40"/>
            </w:pPr>
            <w:r>
              <w:rPr>
                <w:rFonts w:ascii="Arial" w:eastAsia="Arial" w:hAnsi="Arial" w:cs="Arial"/>
                <w:color w:val="1E293B"/>
                <w:sz w:val="19"/>
                <w:szCs w:val="19"/>
              </w:rPr>
              <w:t>Additional compute / licensing</w:t>
            </w:r>
          </w:p>
        </w:tc>
        <w:tc>
          <w:tcPr>
            <w:tcW w:w="6746"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3D89D6EB" w14:textId="77777777" w:rsidR="0007011C" w:rsidRDefault="00000000">
            <w:pPr>
              <w:spacing w:before="40" w:after="40"/>
            </w:pPr>
            <w:r>
              <w:rPr>
                <w:rFonts w:ascii="Arial" w:eastAsia="Arial" w:hAnsi="Arial" w:cs="Arial"/>
                <w:color w:val="1E293B"/>
                <w:sz w:val="19"/>
                <w:szCs w:val="19"/>
              </w:rPr>
              <w:t>None in v1.0.</w:t>
            </w:r>
          </w:p>
        </w:tc>
      </w:tr>
    </w:tbl>
    <w:p w14:paraId="5A5112EB" w14:textId="77777777" w:rsidR="0007011C" w:rsidRDefault="0007011C">
      <w:pPr>
        <w:spacing w:after="80"/>
      </w:pPr>
    </w:p>
    <w:p w14:paraId="734FB97A" w14:textId="77777777" w:rsidR="0007011C" w:rsidRDefault="00000000">
      <w:pPr>
        <w:pBdr>
          <w:bottom w:val="single" w:sz="4" w:space="4" w:color="2C5F8A"/>
        </w:pBdr>
        <w:spacing w:before="180" w:after="80"/>
      </w:pPr>
      <w:r>
        <w:rPr>
          <w:rFonts w:ascii="Arial" w:eastAsia="Arial" w:hAnsi="Arial" w:cs="Arial"/>
          <w:b/>
          <w:bCs/>
          <w:color w:val="2C5F8A"/>
          <w:sz w:val="22"/>
          <w:szCs w:val="22"/>
        </w:rPr>
        <w:t>7   Post-Launch Success Metrics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73"/>
        <w:gridCol w:w="4073"/>
      </w:tblGrid>
      <w:tr w:rsidR="0007011C" w14:paraId="2FE574A4" w14:textId="77777777">
        <w:trPr>
          <w:tblHeader/>
        </w:trPr>
        <w:tc>
          <w:tcPr>
            <w:tcW w:w="13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548B840A" w14:textId="77777777" w:rsidR="0007011C" w:rsidRDefault="00000000">
            <w:pPr>
              <w:spacing w:before="40" w:after="40"/>
            </w:pPr>
            <w:r>
              <w:rPr>
                <w:rFonts w:ascii="Arial" w:eastAsia="Arial" w:hAnsi="Arial" w:cs="Arial"/>
                <w:b/>
                <w:bCs/>
                <w:color w:val="FFFFFF"/>
                <w:sz w:val="18"/>
                <w:szCs w:val="18"/>
              </w:rPr>
              <w:t>Milestone</w:t>
            </w:r>
          </w:p>
        </w:tc>
        <w:tc>
          <w:tcPr>
            <w:tcW w:w="4373"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07556441" w14:textId="77777777" w:rsidR="0007011C" w:rsidRDefault="00000000">
            <w:pPr>
              <w:spacing w:before="40" w:after="40"/>
            </w:pPr>
            <w:r>
              <w:rPr>
                <w:rFonts w:ascii="Arial" w:eastAsia="Arial" w:hAnsi="Arial" w:cs="Arial"/>
                <w:b/>
                <w:bCs/>
                <w:color w:val="FFFFFF"/>
                <w:sz w:val="18"/>
                <w:szCs w:val="18"/>
              </w:rPr>
              <w:t>Measure</w:t>
            </w:r>
          </w:p>
        </w:tc>
        <w:tc>
          <w:tcPr>
            <w:tcW w:w="4073"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71F3C550" w14:textId="77777777" w:rsidR="0007011C" w:rsidRDefault="00000000">
            <w:pPr>
              <w:spacing w:before="40" w:after="40"/>
            </w:pPr>
            <w:r>
              <w:rPr>
                <w:rFonts w:ascii="Arial" w:eastAsia="Arial" w:hAnsi="Arial" w:cs="Arial"/>
                <w:b/>
                <w:bCs/>
                <w:color w:val="FFFFFF"/>
                <w:sz w:val="18"/>
                <w:szCs w:val="18"/>
              </w:rPr>
              <w:t>Target</w:t>
            </w:r>
          </w:p>
        </w:tc>
      </w:tr>
      <w:tr w:rsidR="0007011C" w14:paraId="09E76839" w14:textId="77777777">
        <w:tc>
          <w:tcPr>
            <w:tcW w:w="13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10B884AF" w14:textId="77777777" w:rsidR="0007011C" w:rsidRDefault="00000000">
            <w:pPr>
              <w:spacing w:before="40" w:after="40"/>
            </w:pPr>
            <w:r>
              <w:rPr>
                <w:rFonts w:ascii="Arial" w:eastAsia="Arial" w:hAnsi="Arial" w:cs="Arial"/>
                <w:color w:val="1E293B"/>
                <w:sz w:val="19"/>
                <w:szCs w:val="19"/>
              </w:rPr>
              <w:t>30 days</w:t>
            </w:r>
          </w:p>
        </w:tc>
        <w:tc>
          <w:tcPr>
            <w:tcW w:w="4373"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11C6DD88" w14:textId="77777777" w:rsidR="0007011C" w:rsidRDefault="00000000">
            <w:pPr>
              <w:spacing w:before="40" w:after="40"/>
            </w:pPr>
            <w:r>
              <w:rPr>
                <w:rFonts w:ascii="Arial" w:eastAsia="Arial" w:hAnsi="Arial" w:cs="Arial"/>
                <w:color w:val="1E293B"/>
                <w:sz w:val="19"/>
                <w:szCs w:val="19"/>
              </w:rPr>
              <w:t>Time from anomaly detection to first AI briefing</w:t>
            </w:r>
          </w:p>
        </w:tc>
        <w:tc>
          <w:tcPr>
            <w:tcW w:w="4073"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152D677A" w14:textId="77777777" w:rsidR="0007011C" w:rsidRDefault="00000000">
            <w:pPr>
              <w:spacing w:before="40" w:after="40"/>
            </w:pPr>
            <w:r>
              <w:rPr>
                <w:rFonts w:ascii="Arial" w:eastAsia="Arial" w:hAnsi="Arial" w:cs="Arial"/>
                <w:color w:val="1E293B"/>
                <w:sz w:val="19"/>
                <w:szCs w:val="19"/>
              </w:rPr>
              <w:t>&lt; 2 minutes</w:t>
            </w:r>
          </w:p>
        </w:tc>
      </w:tr>
      <w:tr w:rsidR="0007011C" w14:paraId="2E0B4B42" w14:textId="77777777">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960F54" w14:textId="77777777" w:rsidR="0007011C" w:rsidRDefault="00000000">
            <w:pPr>
              <w:spacing w:before="40" w:after="40"/>
            </w:pPr>
            <w:r>
              <w:rPr>
                <w:rFonts w:ascii="Arial" w:eastAsia="Arial" w:hAnsi="Arial" w:cs="Arial"/>
                <w:color w:val="1E293B"/>
                <w:sz w:val="19"/>
                <w:szCs w:val="19"/>
              </w:rPr>
              <w:t>30 days</w:t>
            </w:r>
          </w:p>
        </w:tc>
        <w:tc>
          <w:tcPr>
            <w:tcW w:w="43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D6BAF8" w14:textId="77777777" w:rsidR="0007011C" w:rsidRDefault="00000000">
            <w:pPr>
              <w:spacing w:before="40" w:after="40"/>
            </w:pPr>
            <w:r>
              <w:rPr>
                <w:rFonts w:ascii="Arial" w:eastAsia="Arial" w:hAnsi="Arial" w:cs="Arial"/>
                <w:color w:val="1E293B"/>
                <w:sz w:val="19"/>
                <w:szCs w:val="19"/>
              </w:rPr>
              <w:t>Briefing format adopted in Weekly Business Review agenda</w:t>
            </w:r>
          </w:p>
        </w:tc>
        <w:tc>
          <w:tcPr>
            <w:tcW w:w="4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8CF9170" w14:textId="77777777" w:rsidR="0007011C" w:rsidRDefault="00000000">
            <w:pPr>
              <w:spacing w:before="40" w:after="40"/>
            </w:pPr>
            <w:r>
              <w:rPr>
                <w:rFonts w:ascii="Arial" w:eastAsia="Arial" w:hAnsi="Arial" w:cs="Arial"/>
                <w:color w:val="1E293B"/>
                <w:sz w:val="19"/>
                <w:szCs w:val="19"/>
              </w:rPr>
              <w:t>Integrated by WBR cycle 2</w:t>
            </w:r>
          </w:p>
        </w:tc>
      </w:tr>
      <w:tr w:rsidR="0007011C" w14:paraId="271FAFE2" w14:textId="77777777">
        <w:tc>
          <w:tcPr>
            <w:tcW w:w="13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0252E717" w14:textId="77777777" w:rsidR="0007011C" w:rsidRDefault="00000000">
            <w:pPr>
              <w:spacing w:before="40" w:after="40"/>
            </w:pPr>
            <w:r>
              <w:rPr>
                <w:rFonts w:ascii="Arial" w:eastAsia="Arial" w:hAnsi="Arial" w:cs="Arial"/>
                <w:color w:val="1E293B"/>
                <w:sz w:val="19"/>
                <w:szCs w:val="19"/>
              </w:rPr>
              <w:t>60 days</w:t>
            </w:r>
          </w:p>
        </w:tc>
        <w:tc>
          <w:tcPr>
            <w:tcW w:w="4373"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4178151A" w14:textId="77777777" w:rsidR="0007011C" w:rsidRDefault="00000000">
            <w:pPr>
              <w:spacing w:before="40" w:after="40"/>
            </w:pPr>
            <w:r>
              <w:rPr>
                <w:rFonts w:ascii="Arial" w:eastAsia="Arial" w:hAnsi="Arial" w:cs="Arial"/>
                <w:color w:val="1E293B"/>
                <w:sz w:val="19"/>
                <w:szCs w:val="19"/>
              </w:rPr>
              <w:t>Reduction in PM time spent preparing variance reports</w:t>
            </w:r>
          </w:p>
        </w:tc>
        <w:tc>
          <w:tcPr>
            <w:tcW w:w="4073"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36CE65AF" w14:textId="77777777" w:rsidR="0007011C" w:rsidRDefault="00000000">
            <w:pPr>
              <w:spacing w:before="40" w:after="40"/>
            </w:pPr>
            <w:r>
              <w:rPr>
                <w:rFonts w:ascii="Arial" w:eastAsia="Arial" w:hAnsi="Arial" w:cs="Arial"/>
                <w:color w:val="1E293B"/>
                <w:sz w:val="19"/>
                <w:szCs w:val="19"/>
              </w:rPr>
              <w:t>&gt; 50% reduction</w:t>
            </w:r>
          </w:p>
        </w:tc>
      </w:tr>
      <w:tr w:rsidR="0007011C" w14:paraId="7363CC21" w14:textId="77777777">
        <w:tc>
          <w:tcPr>
            <w:tcW w:w="13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AB4B9E" w14:textId="77777777" w:rsidR="0007011C" w:rsidRDefault="00000000">
            <w:pPr>
              <w:spacing w:before="40" w:after="40"/>
            </w:pPr>
            <w:r>
              <w:rPr>
                <w:rFonts w:ascii="Arial" w:eastAsia="Arial" w:hAnsi="Arial" w:cs="Arial"/>
                <w:color w:val="1E293B"/>
                <w:sz w:val="19"/>
                <w:szCs w:val="19"/>
              </w:rPr>
              <w:t>90 days</w:t>
            </w:r>
          </w:p>
        </w:tc>
        <w:tc>
          <w:tcPr>
            <w:tcW w:w="43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80B010" w14:textId="77777777" w:rsidR="0007011C" w:rsidRDefault="00000000">
            <w:pPr>
              <w:spacing w:before="40" w:after="40"/>
            </w:pPr>
            <w:r>
              <w:rPr>
                <w:rFonts w:ascii="Arial" w:eastAsia="Arial" w:hAnsi="Arial" w:cs="Arial"/>
                <w:color w:val="1E293B"/>
                <w:sz w:val="19"/>
                <w:szCs w:val="19"/>
              </w:rPr>
              <w:t>AI-generated corrective actions validated against manual review output</w:t>
            </w:r>
          </w:p>
        </w:tc>
        <w:tc>
          <w:tcPr>
            <w:tcW w:w="407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EEF0A1D" w14:textId="77777777" w:rsidR="0007011C" w:rsidRDefault="00000000">
            <w:pPr>
              <w:spacing w:before="40" w:after="40"/>
            </w:pPr>
            <w:r>
              <w:rPr>
                <w:rFonts w:ascii="Arial" w:eastAsia="Arial" w:hAnsi="Arial" w:cs="Arial"/>
                <w:color w:val="1E293B"/>
                <w:sz w:val="19"/>
                <w:szCs w:val="19"/>
              </w:rPr>
              <w:t>Parity confirmed by Operations Director</w:t>
            </w:r>
          </w:p>
        </w:tc>
      </w:tr>
    </w:tbl>
    <w:p w14:paraId="569B06C6" w14:textId="77777777" w:rsidR="0007011C" w:rsidRDefault="0007011C">
      <w:pPr>
        <w:spacing w:after="80"/>
      </w:pPr>
    </w:p>
    <w:p w14:paraId="145FAC47" w14:textId="77777777" w:rsidR="0007011C" w:rsidRDefault="00000000">
      <w:pPr>
        <w:pBdr>
          <w:bottom w:val="single" w:sz="4" w:space="4" w:color="2C5F8A"/>
        </w:pBdr>
        <w:spacing w:before="180" w:after="80"/>
      </w:pPr>
      <w:r>
        <w:rPr>
          <w:rFonts w:ascii="Arial" w:eastAsia="Arial" w:hAnsi="Arial" w:cs="Arial"/>
          <w:b/>
          <w:bCs/>
          <w:color w:val="2C5F8A"/>
          <w:sz w:val="22"/>
          <w:szCs w:val="22"/>
        </w:rPr>
        <w:t>8   Launch Readiness &amp; Access</w:t>
      </w:r>
    </w:p>
    <w:p w14:paraId="3560EB2C" w14:textId="77777777" w:rsidR="0007011C" w:rsidRDefault="00000000">
      <w:pPr>
        <w:spacing w:before="60" w:after="80"/>
        <w:rPr>
          <w:rFonts w:ascii="Arial" w:eastAsia="Arial" w:hAnsi="Arial" w:cs="Arial"/>
          <w:color w:val="1E293B"/>
        </w:rPr>
      </w:pPr>
      <w:r>
        <w:rPr>
          <w:rFonts w:ascii="Arial" w:eastAsia="Arial" w:hAnsi="Arial" w:cs="Arial"/>
          <w:color w:val="1E293B"/>
        </w:rPr>
        <w:t xml:space="preserve">All build, testing, and documentation tasks are complete. One step remains: deployment to Streamlit Community Cloud (push to GitHub, connect at share.streamlit.io, add API key in Secrets Manager, deploy). </w:t>
      </w:r>
      <w:r>
        <w:rPr>
          <w:rFonts w:ascii="Arial" w:eastAsia="Arial" w:hAnsi="Arial" w:cs="Arial"/>
          <w:color w:val="1E293B"/>
        </w:rPr>
        <w:lastRenderedPageBreak/>
        <w:t>Estimated completion time is 30 minutes. The live dashboard URL and a 3–5 minute walkthrough recording will be circulated to this group immediately post-deployment.</w:t>
      </w:r>
    </w:p>
    <w:p w14:paraId="622AC67B" w14:textId="77777777" w:rsidR="006D2716" w:rsidRDefault="006D2716">
      <w:pPr>
        <w:spacing w:before="60" w:after="80"/>
        <w:rPr>
          <w:rFonts w:ascii="Arial" w:eastAsia="Arial" w:hAnsi="Arial" w:cs="Arial"/>
          <w:color w:val="1E293B"/>
        </w:rPr>
      </w:pPr>
    </w:p>
    <w:p w14:paraId="001634A2" w14:textId="77777777" w:rsidR="0007011C" w:rsidRDefault="00000000">
      <w:pPr>
        <w:pBdr>
          <w:bottom w:val="single" w:sz="4" w:space="4" w:color="2C5F8A"/>
        </w:pBdr>
        <w:spacing w:before="180" w:after="80"/>
      </w:pPr>
      <w:r>
        <w:rPr>
          <w:rFonts w:ascii="Arial" w:eastAsia="Arial" w:hAnsi="Arial" w:cs="Arial"/>
          <w:b/>
          <w:bCs/>
          <w:color w:val="2C5F8A"/>
          <w:sz w:val="22"/>
          <w:szCs w:val="22"/>
        </w:rPr>
        <w:t>9   Ownership &amp; Accountability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346"/>
      </w:tblGrid>
      <w:tr w:rsidR="0007011C" w14:paraId="2BA438F8" w14:textId="77777777">
        <w:trPr>
          <w:tblHeader/>
        </w:trPr>
        <w:tc>
          <w:tcPr>
            <w:tcW w:w="4400"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6EEDEBBD" w14:textId="77777777" w:rsidR="0007011C" w:rsidRDefault="00000000">
            <w:pPr>
              <w:spacing w:before="40" w:after="40"/>
            </w:pPr>
            <w:r>
              <w:rPr>
                <w:rFonts w:ascii="Arial" w:eastAsia="Arial" w:hAnsi="Arial" w:cs="Arial"/>
                <w:b/>
                <w:bCs/>
                <w:color w:val="FFFFFF"/>
                <w:sz w:val="18"/>
                <w:szCs w:val="18"/>
              </w:rPr>
              <w:t>Responsibility</w:t>
            </w:r>
          </w:p>
        </w:tc>
        <w:tc>
          <w:tcPr>
            <w:tcW w:w="5346" w:type="dxa"/>
            <w:tcBorders>
              <w:top w:val="single" w:sz="1" w:space="0" w:color="CBD5E1"/>
              <w:left w:val="single" w:sz="1" w:space="0" w:color="CBD5E1"/>
              <w:bottom w:val="single" w:sz="1" w:space="0" w:color="CBD5E1"/>
              <w:right w:val="single" w:sz="1" w:space="0" w:color="CBD5E1"/>
            </w:tcBorders>
            <w:shd w:val="clear" w:color="auto" w:fill="2C5F8A"/>
            <w:tcMar>
              <w:top w:w="80" w:type="dxa"/>
              <w:left w:w="120" w:type="dxa"/>
              <w:bottom w:w="80" w:type="dxa"/>
              <w:right w:w="120" w:type="dxa"/>
            </w:tcMar>
          </w:tcPr>
          <w:p w14:paraId="3879970A" w14:textId="77777777" w:rsidR="0007011C" w:rsidRDefault="00000000">
            <w:pPr>
              <w:spacing w:before="40" w:after="40"/>
            </w:pPr>
            <w:r>
              <w:rPr>
                <w:rFonts w:ascii="Arial" w:eastAsia="Arial" w:hAnsi="Arial" w:cs="Arial"/>
                <w:b/>
                <w:bCs/>
                <w:color w:val="FFFFFF"/>
                <w:sz w:val="18"/>
                <w:szCs w:val="18"/>
              </w:rPr>
              <w:t>Owner</w:t>
            </w:r>
          </w:p>
        </w:tc>
      </w:tr>
      <w:tr w:rsidR="0007011C" w14:paraId="2AFE9622" w14:textId="77777777">
        <w:tc>
          <w:tcPr>
            <w:tcW w:w="44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562A4FDE" w14:textId="77777777" w:rsidR="0007011C" w:rsidRDefault="00000000">
            <w:pPr>
              <w:spacing w:before="40" w:after="40"/>
            </w:pPr>
            <w:r w:rsidRPr="00F046FA">
              <w:rPr>
                <w:rFonts w:ascii="Arial" w:eastAsia="Arial" w:hAnsi="Arial" w:cs="Arial"/>
                <w:color w:val="1E293B"/>
                <w:sz w:val="19"/>
                <w:szCs w:val="19"/>
              </w:rPr>
              <w:t>System build and maintenance</w:t>
            </w:r>
          </w:p>
        </w:tc>
        <w:tc>
          <w:tcPr>
            <w:tcW w:w="5346"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3046E652" w14:textId="652ACE26" w:rsidR="0007011C" w:rsidRDefault="00F046FA">
            <w:pPr>
              <w:spacing w:before="40" w:after="40"/>
            </w:pPr>
            <w:r>
              <w:rPr>
                <w:rFonts w:ascii="Arial" w:eastAsia="Arial" w:hAnsi="Arial" w:cs="Arial"/>
                <w:color w:val="1E293B"/>
                <w:sz w:val="19"/>
                <w:szCs w:val="19"/>
              </w:rPr>
              <w:t>TBC</w:t>
            </w:r>
          </w:p>
        </w:tc>
      </w:tr>
      <w:tr w:rsidR="0007011C" w14:paraId="61388154" w14:textId="77777777">
        <w:tc>
          <w:tcPr>
            <w:tcW w:w="4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D24EA0" w14:textId="77777777" w:rsidR="0007011C" w:rsidRDefault="00000000">
            <w:pPr>
              <w:spacing w:before="40" w:after="40"/>
            </w:pPr>
            <w:r>
              <w:rPr>
                <w:rFonts w:ascii="Arial" w:eastAsia="Arial" w:hAnsi="Arial" w:cs="Arial"/>
                <w:color w:val="1E293B"/>
                <w:sz w:val="19"/>
                <w:szCs w:val="19"/>
              </w:rPr>
              <w:t>Anthropic API key management and rotation</w:t>
            </w:r>
          </w:p>
        </w:tc>
        <w:tc>
          <w:tcPr>
            <w:tcW w:w="53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61F1369" w14:textId="77777777" w:rsidR="0007011C" w:rsidRDefault="00000000">
            <w:pPr>
              <w:spacing w:before="40" w:after="40"/>
            </w:pPr>
            <w:r>
              <w:rPr>
                <w:rFonts w:ascii="Arial" w:eastAsia="Arial" w:hAnsi="Arial" w:cs="Arial"/>
                <w:color w:val="1E293B"/>
                <w:sz w:val="19"/>
                <w:szCs w:val="19"/>
              </w:rPr>
              <w:t>To be assigned at post-launch handover</w:t>
            </w:r>
          </w:p>
        </w:tc>
      </w:tr>
      <w:tr w:rsidR="0007011C" w14:paraId="70EAB848" w14:textId="77777777">
        <w:tc>
          <w:tcPr>
            <w:tcW w:w="4400"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4FC659B8" w14:textId="77777777" w:rsidR="0007011C" w:rsidRDefault="00000000">
            <w:pPr>
              <w:spacing w:before="40" w:after="40"/>
            </w:pPr>
            <w:r>
              <w:rPr>
                <w:rFonts w:ascii="Arial" w:eastAsia="Arial" w:hAnsi="Arial" w:cs="Arial"/>
                <w:color w:val="1E293B"/>
                <w:sz w:val="19"/>
                <w:szCs w:val="19"/>
              </w:rPr>
              <w:t>SLA threshold configuration — reviewed annually</w:t>
            </w:r>
          </w:p>
        </w:tc>
        <w:tc>
          <w:tcPr>
            <w:tcW w:w="5346" w:type="dxa"/>
            <w:tcBorders>
              <w:top w:val="single" w:sz="1" w:space="0" w:color="CBD5E1"/>
              <w:left w:val="single" w:sz="1" w:space="0" w:color="CBD5E1"/>
              <w:bottom w:val="single" w:sz="1" w:space="0" w:color="CBD5E1"/>
              <w:right w:val="single" w:sz="1" w:space="0" w:color="CBD5E1"/>
            </w:tcBorders>
            <w:shd w:val="clear" w:color="auto" w:fill="EAF2F8"/>
            <w:tcMar>
              <w:top w:w="80" w:type="dxa"/>
              <w:left w:w="120" w:type="dxa"/>
              <w:bottom w:w="80" w:type="dxa"/>
              <w:right w:w="120" w:type="dxa"/>
            </w:tcMar>
          </w:tcPr>
          <w:p w14:paraId="076CB865" w14:textId="77777777" w:rsidR="0007011C" w:rsidRDefault="00000000">
            <w:pPr>
              <w:spacing w:before="40" w:after="40"/>
            </w:pPr>
            <w:r>
              <w:rPr>
                <w:rFonts w:ascii="Arial" w:eastAsia="Arial" w:hAnsi="Arial" w:cs="Arial"/>
                <w:color w:val="1E293B"/>
                <w:sz w:val="19"/>
                <w:szCs w:val="19"/>
              </w:rPr>
              <w:t>Director of Operations</w:t>
            </w:r>
          </w:p>
        </w:tc>
      </w:tr>
      <w:tr w:rsidR="0007011C" w14:paraId="318665C3" w14:textId="77777777">
        <w:tc>
          <w:tcPr>
            <w:tcW w:w="4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AC87D5" w14:textId="77777777" w:rsidR="0007011C" w:rsidRDefault="00000000">
            <w:pPr>
              <w:spacing w:before="40" w:after="40"/>
            </w:pPr>
            <w:r>
              <w:rPr>
                <w:rFonts w:ascii="Arial" w:eastAsia="Arial" w:hAnsi="Arial" w:cs="Arial"/>
                <w:color w:val="1E293B"/>
                <w:sz w:val="19"/>
                <w:szCs w:val="19"/>
              </w:rPr>
              <w:t>v2.0 live data connectivity roadmap</w:t>
            </w:r>
          </w:p>
        </w:tc>
        <w:tc>
          <w:tcPr>
            <w:tcW w:w="534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0E3E2F4" w14:textId="77777777" w:rsidR="0007011C" w:rsidRDefault="00000000">
            <w:pPr>
              <w:spacing w:before="40" w:after="40"/>
            </w:pPr>
            <w:r>
              <w:rPr>
                <w:rFonts w:ascii="Arial" w:eastAsia="Arial" w:hAnsi="Arial" w:cs="Arial"/>
                <w:color w:val="1E293B"/>
                <w:sz w:val="19"/>
                <w:szCs w:val="19"/>
              </w:rPr>
              <w:t>Director of Technology — scoped in Implementation Plan v1.0</w:t>
            </w:r>
          </w:p>
        </w:tc>
      </w:tr>
    </w:tbl>
    <w:p w14:paraId="0BFAA962" w14:textId="77777777" w:rsidR="0007011C" w:rsidRDefault="0007011C">
      <w:pPr>
        <w:spacing w:after="160"/>
      </w:pPr>
    </w:p>
    <w:p w14:paraId="2A40C947" w14:textId="77777777" w:rsidR="0007011C" w:rsidRDefault="0007011C">
      <w:pPr>
        <w:pBdr>
          <w:bottom w:val="single" w:sz="6" w:space="2" w:color="1E3A5F"/>
        </w:pBdr>
      </w:pPr>
    </w:p>
    <w:p w14:paraId="127676DF" w14:textId="77777777" w:rsidR="0007011C" w:rsidRDefault="0007011C">
      <w:pPr>
        <w:spacing w:after="80"/>
      </w:pPr>
    </w:p>
    <w:p w14:paraId="65BB06D3" w14:textId="77777777" w:rsidR="0007011C" w:rsidRDefault="00000000">
      <w:pPr>
        <w:spacing w:before="40" w:after="40"/>
      </w:pPr>
      <w:r>
        <w:rPr>
          <w:rFonts w:ascii="Arial" w:eastAsia="Arial" w:hAnsi="Arial" w:cs="Arial"/>
          <w:b/>
          <w:bCs/>
          <w:color w:val="1E3A5F"/>
        </w:rPr>
        <w:t>LAUNCH SIGN-OFF</w:t>
      </w:r>
    </w:p>
    <w:p w14:paraId="5301C73C" w14:textId="08942059" w:rsidR="0007011C" w:rsidRDefault="002D4178">
      <w:pPr>
        <w:spacing w:after="80"/>
      </w:pPr>
      <w:r>
        <w:rPr>
          <w:rFonts w:ascii="Arial" w:eastAsia="Arial" w:hAnsi="Arial" w:cs="Arial"/>
          <w:color w:val="1E293B"/>
          <w:sz w:val="19"/>
          <w:szCs w:val="19"/>
        </w:rPr>
        <w:t xml:space="preserve">Launch signoff required from VP Operations, Director of Operations and Director of Technology </w:t>
      </w:r>
    </w:p>
    <w:p w14:paraId="519A5180" w14:textId="77777777" w:rsidR="008A69B1" w:rsidRDefault="008A69B1"/>
    <w:sectPr w:rsidR="008A69B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F2F8B" w14:textId="77777777" w:rsidR="0026402E" w:rsidRDefault="0026402E">
      <w:r>
        <w:separator/>
      </w:r>
    </w:p>
  </w:endnote>
  <w:endnote w:type="continuationSeparator" w:id="0">
    <w:p w14:paraId="74801758" w14:textId="77777777" w:rsidR="0026402E" w:rsidRDefault="00264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091A" w14:textId="5A2147C8" w:rsidR="0007011C" w:rsidRDefault="00000000">
    <w:pPr>
      <w:pBdr>
        <w:top w:val="single" w:sz="4" w:space="4" w:color="CBD5E1"/>
      </w:pBdr>
      <w:spacing w:before="80"/>
    </w:pPr>
    <w:r>
      <w:rPr>
        <w:rFonts w:ascii="Arial" w:eastAsia="Arial" w:hAnsi="Arial" w:cs="Arial"/>
        <w:color w:val="64748B"/>
        <w:sz w:val="16"/>
        <w:szCs w:val="16"/>
      </w:rPr>
      <w:t xml:space="preserve">Smita Harding  •  AI Transformation Lead  •  Page </w:t>
    </w:r>
    <w:r>
      <w:rPr>
        <w:rFonts w:ascii="Arial" w:eastAsia="Arial" w:hAnsi="Arial" w:cs="Arial"/>
        <w:color w:val="64748B"/>
        <w:sz w:val="16"/>
        <w:szCs w:val="16"/>
      </w:rPr>
      <w:fldChar w:fldCharType="begin"/>
    </w:r>
    <w:r>
      <w:rPr>
        <w:rFonts w:ascii="Arial" w:eastAsia="Arial" w:hAnsi="Arial" w:cs="Arial"/>
        <w:color w:val="64748B"/>
        <w:sz w:val="16"/>
        <w:szCs w:val="16"/>
      </w:rPr>
      <w:instrText>PAGE</w:instrText>
    </w:r>
    <w:r>
      <w:rPr>
        <w:rFonts w:ascii="Arial" w:eastAsia="Arial" w:hAnsi="Arial" w:cs="Arial"/>
        <w:color w:val="64748B"/>
        <w:sz w:val="16"/>
        <w:szCs w:val="16"/>
      </w:rPr>
      <w:fldChar w:fldCharType="separate"/>
    </w:r>
    <w:r w:rsidR="00435F1E">
      <w:rPr>
        <w:rFonts w:ascii="Arial" w:eastAsia="Arial" w:hAnsi="Arial" w:cs="Arial"/>
        <w:noProof/>
        <w:color w:val="64748B"/>
        <w:sz w:val="16"/>
        <w:szCs w:val="16"/>
      </w:rPr>
      <w:t>1</w:t>
    </w:r>
    <w:r>
      <w:rPr>
        <w:rFonts w:ascii="Arial" w:eastAsia="Arial" w:hAnsi="Arial" w:cs="Arial"/>
        <w:color w:val="64748B"/>
        <w:sz w:val="16"/>
        <w:szCs w:val="16"/>
      </w:rPr>
      <w:fldChar w:fldCharType="end"/>
    </w:r>
    <w:r>
      <w:rPr>
        <w:rFonts w:ascii="Arial" w:eastAsia="Arial" w:hAnsi="Arial" w:cs="Arial"/>
        <w:color w:val="64748B"/>
        <w:sz w:val="16"/>
        <w:szCs w:val="16"/>
      </w:rPr>
      <w:t xml:space="preserve"> of </w:t>
    </w:r>
    <w:r>
      <w:rPr>
        <w:rFonts w:ascii="Arial" w:eastAsia="Arial" w:hAnsi="Arial" w:cs="Arial"/>
        <w:color w:val="64748B"/>
        <w:sz w:val="16"/>
        <w:szCs w:val="16"/>
      </w:rPr>
      <w:fldChar w:fldCharType="begin"/>
    </w:r>
    <w:r>
      <w:rPr>
        <w:rFonts w:ascii="Arial" w:eastAsia="Arial" w:hAnsi="Arial" w:cs="Arial"/>
        <w:color w:val="64748B"/>
        <w:sz w:val="16"/>
        <w:szCs w:val="16"/>
      </w:rPr>
      <w:instrText>NUMPAGES</w:instrText>
    </w:r>
    <w:r>
      <w:rPr>
        <w:rFonts w:ascii="Arial" w:eastAsia="Arial" w:hAnsi="Arial" w:cs="Arial"/>
        <w:color w:val="64748B"/>
        <w:sz w:val="16"/>
        <w:szCs w:val="16"/>
      </w:rPr>
      <w:fldChar w:fldCharType="separate"/>
    </w:r>
    <w:r w:rsidR="00435F1E">
      <w:rPr>
        <w:rFonts w:ascii="Arial" w:eastAsia="Arial" w:hAnsi="Arial" w:cs="Arial"/>
        <w:noProof/>
        <w:color w:val="64748B"/>
        <w:sz w:val="16"/>
        <w:szCs w:val="16"/>
      </w:rPr>
      <w:t>2</w:t>
    </w:r>
    <w:r>
      <w:rPr>
        <w:rFonts w:ascii="Arial" w:eastAsia="Arial" w:hAnsi="Arial" w:cs="Arial"/>
        <w:color w:val="64748B"/>
        <w:sz w:val="16"/>
        <w:szCs w:val="16"/>
      </w:rPr>
      <w:fldChar w:fldCharType="end"/>
    </w:r>
    <w:r w:rsidR="002D4178">
      <w:rPr>
        <w:rFonts w:ascii="Arial" w:eastAsia="Arial" w:hAnsi="Arial" w:cs="Arial"/>
        <w:color w:val="64748B"/>
        <w:sz w:val="16"/>
        <w:szCs w:val="16"/>
      </w:rPr>
      <w:br/>
    </w:r>
    <w:r w:rsidR="002D4178">
      <w:rPr>
        <w:rFonts w:ascii="Arial" w:eastAsia="Arial" w:hAnsi="Arial" w:cs="Arial"/>
        <w:color w:val="64748B"/>
        <w:sz w:val="16"/>
        <w:szCs w:val="16"/>
      </w:rPr>
      <w:br/>
    </w:r>
    <w:r w:rsidR="002D4178" w:rsidRPr="002D4178">
      <w:rPr>
        <w:rFonts w:ascii="Arial" w:eastAsia="Arial" w:hAnsi="Arial" w:cs="Arial"/>
        <w:color w:val="64748B"/>
        <w:sz w:val="16"/>
        <w:szCs w:val="16"/>
      </w:rPr>
      <w:t>This project was designed and built with the assistance of Claude (Anthropic), an AI coding and reasoning assistant. All architecture decisions, domain logic, data models, and analytical frameworks were directed and validated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9CE85" w14:textId="77777777" w:rsidR="0026402E" w:rsidRDefault="0026402E">
      <w:r>
        <w:separator/>
      </w:r>
    </w:p>
  </w:footnote>
  <w:footnote w:type="continuationSeparator" w:id="0">
    <w:p w14:paraId="5F2BF803" w14:textId="77777777" w:rsidR="0026402E" w:rsidRDefault="00264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F91F" w14:textId="77777777" w:rsidR="0007011C" w:rsidRDefault="00000000">
    <w:pPr>
      <w:pBdr>
        <w:bottom w:val="single" w:sz="4" w:space="4" w:color="CBD5E1"/>
      </w:pBdr>
      <w:tabs>
        <w:tab w:val="right" w:pos="9746"/>
      </w:tabs>
      <w:spacing w:after="80"/>
    </w:pPr>
    <w:r>
      <w:rPr>
        <w:rFonts w:ascii="Arial" w:eastAsia="Arial" w:hAnsi="Arial" w:cs="Arial"/>
        <w:color w:val="64748B"/>
        <w:sz w:val="16"/>
        <w:szCs w:val="16"/>
      </w:rPr>
      <w:t>Project Aegis  •  Executive Launch Brief  •  Confidential</w:t>
    </w:r>
    <w:r>
      <w:rPr>
        <w:rFonts w:ascii="Arial" w:eastAsia="Arial" w:hAnsi="Arial" w:cs="Arial"/>
        <w:color w:val="64748B"/>
        <w:sz w:val="16"/>
        <w:szCs w:val="16"/>
      </w:rPr>
      <w:tab/>
      <w:t>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4A5E"/>
    <w:multiLevelType w:val="hybridMultilevel"/>
    <w:tmpl w:val="9424C4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A76829"/>
    <w:multiLevelType w:val="hybridMultilevel"/>
    <w:tmpl w:val="D726457A"/>
    <w:lvl w:ilvl="0" w:tplc="A858B89C">
      <w:start w:val="1"/>
      <w:numFmt w:val="bullet"/>
      <w:lvlText w:val="●"/>
      <w:lvlJc w:val="left"/>
      <w:pPr>
        <w:ind w:left="720" w:hanging="360"/>
      </w:pPr>
    </w:lvl>
    <w:lvl w:ilvl="1" w:tplc="BC5453D4">
      <w:start w:val="1"/>
      <w:numFmt w:val="bullet"/>
      <w:lvlText w:val="○"/>
      <w:lvlJc w:val="left"/>
      <w:pPr>
        <w:ind w:left="1440" w:hanging="360"/>
      </w:pPr>
    </w:lvl>
    <w:lvl w:ilvl="2" w:tplc="749CF92E">
      <w:start w:val="1"/>
      <w:numFmt w:val="bullet"/>
      <w:lvlText w:val="■"/>
      <w:lvlJc w:val="left"/>
      <w:pPr>
        <w:ind w:left="2160" w:hanging="360"/>
      </w:pPr>
    </w:lvl>
    <w:lvl w:ilvl="3" w:tplc="23720F44">
      <w:start w:val="1"/>
      <w:numFmt w:val="bullet"/>
      <w:lvlText w:val="●"/>
      <w:lvlJc w:val="left"/>
      <w:pPr>
        <w:ind w:left="2880" w:hanging="360"/>
      </w:pPr>
    </w:lvl>
    <w:lvl w:ilvl="4" w:tplc="FBC44C6E">
      <w:start w:val="1"/>
      <w:numFmt w:val="bullet"/>
      <w:lvlText w:val="○"/>
      <w:lvlJc w:val="left"/>
      <w:pPr>
        <w:ind w:left="3600" w:hanging="360"/>
      </w:pPr>
    </w:lvl>
    <w:lvl w:ilvl="5" w:tplc="9C9CBDCC">
      <w:start w:val="1"/>
      <w:numFmt w:val="bullet"/>
      <w:lvlText w:val="■"/>
      <w:lvlJc w:val="left"/>
      <w:pPr>
        <w:ind w:left="4320" w:hanging="360"/>
      </w:pPr>
    </w:lvl>
    <w:lvl w:ilvl="6" w:tplc="F2BC9EEE">
      <w:start w:val="1"/>
      <w:numFmt w:val="bullet"/>
      <w:lvlText w:val="●"/>
      <w:lvlJc w:val="left"/>
      <w:pPr>
        <w:ind w:left="5040" w:hanging="360"/>
      </w:pPr>
    </w:lvl>
    <w:lvl w:ilvl="7" w:tplc="A4E8FDB0">
      <w:start w:val="1"/>
      <w:numFmt w:val="bullet"/>
      <w:lvlText w:val="●"/>
      <w:lvlJc w:val="left"/>
      <w:pPr>
        <w:ind w:left="5760" w:hanging="360"/>
      </w:pPr>
    </w:lvl>
    <w:lvl w:ilvl="8" w:tplc="F14CB968">
      <w:start w:val="1"/>
      <w:numFmt w:val="bullet"/>
      <w:lvlText w:val="●"/>
      <w:lvlJc w:val="left"/>
      <w:pPr>
        <w:ind w:left="6480" w:hanging="360"/>
      </w:pPr>
    </w:lvl>
  </w:abstractNum>
  <w:num w:numId="1" w16cid:durableId="1910770530">
    <w:abstractNumId w:val="1"/>
    <w:lvlOverride w:ilvl="0">
      <w:startOverride w:val="1"/>
    </w:lvlOverride>
  </w:num>
  <w:num w:numId="2" w16cid:durableId="154170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11C"/>
    <w:rsid w:val="0007011C"/>
    <w:rsid w:val="0026402E"/>
    <w:rsid w:val="002D4178"/>
    <w:rsid w:val="0031473E"/>
    <w:rsid w:val="003B0516"/>
    <w:rsid w:val="0042286F"/>
    <w:rsid w:val="00435F1E"/>
    <w:rsid w:val="005E6EBF"/>
    <w:rsid w:val="00636C51"/>
    <w:rsid w:val="0066567C"/>
    <w:rsid w:val="006D2716"/>
    <w:rsid w:val="00846154"/>
    <w:rsid w:val="008A1558"/>
    <w:rsid w:val="008A69B1"/>
    <w:rsid w:val="00932D35"/>
    <w:rsid w:val="00A24CBA"/>
    <w:rsid w:val="00A40372"/>
    <w:rsid w:val="00BB36FF"/>
    <w:rsid w:val="00C77BB6"/>
    <w:rsid w:val="00E50B57"/>
    <w:rsid w:val="00E933CF"/>
    <w:rsid w:val="00F046FA"/>
    <w:rsid w:val="00FB750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7F9707F"/>
  <w15:docId w15:val="{8790EC35-4F99-D14B-AD45-D1190BFB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4178"/>
    <w:pPr>
      <w:tabs>
        <w:tab w:val="center" w:pos="4513"/>
        <w:tab w:val="right" w:pos="9026"/>
      </w:tabs>
    </w:pPr>
  </w:style>
  <w:style w:type="character" w:customStyle="1" w:styleId="HeaderChar">
    <w:name w:val="Header Char"/>
    <w:basedOn w:val="DefaultParagraphFont"/>
    <w:link w:val="Header"/>
    <w:uiPriority w:val="99"/>
    <w:rsid w:val="002D4178"/>
  </w:style>
  <w:style w:type="paragraph" w:styleId="Footer">
    <w:name w:val="footer"/>
    <w:basedOn w:val="Normal"/>
    <w:link w:val="FooterChar"/>
    <w:uiPriority w:val="99"/>
    <w:unhideWhenUsed/>
    <w:rsid w:val="002D4178"/>
    <w:pPr>
      <w:tabs>
        <w:tab w:val="center" w:pos="4513"/>
        <w:tab w:val="right" w:pos="9026"/>
      </w:tabs>
    </w:pPr>
  </w:style>
  <w:style w:type="character" w:customStyle="1" w:styleId="FooterChar">
    <w:name w:val="Footer Char"/>
    <w:basedOn w:val="DefaultParagraphFont"/>
    <w:link w:val="Footer"/>
    <w:uiPriority w:val="99"/>
    <w:rsid w:val="002D4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Sridhar</cp:lastModifiedBy>
  <cp:revision>18</cp:revision>
  <dcterms:created xsi:type="dcterms:W3CDTF">2026-05-23T16:21:00Z</dcterms:created>
  <dcterms:modified xsi:type="dcterms:W3CDTF">2026-06-02T10:11:00Z</dcterms:modified>
</cp:coreProperties>
</file>