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7011C" w14:paraId="59B35655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il"/>
              <w:left w:val="nil"/>
              <w:bottom w:val="nil"/>
              <w:right w:val="nil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26040" w14:textId="77777777" w:rsidR="0007011C" w:rsidRDefault="00000000">
            <w:pPr>
              <w:spacing w:before="40"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PROJECT AEGIS  ·  EXECUTIVE LAUNCH BRIEF  ·  CONFIDENTIAL  ·  MAY 2026</w:t>
            </w:r>
          </w:p>
        </w:tc>
      </w:tr>
    </w:tbl>
    <w:p w14:paraId="5003E7F9" w14:textId="77777777" w:rsidR="0007011C" w:rsidRDefault="0007011C">
      <w:pPr>
        <w:spacing w:after="40"/>
      </w:pPr>
    </w:p>
    <w:p w14:paraId="40E72747" w14:textId="77777777" w:rsidR="0007011C" w:rsidRDefault="00000000">
      <w:r>
        <w:rPr>
          <w:rFonts w:ascii="Arial" w:eastAsia="Arial" w:hAnsi="Arial" w:cs="Arial"/>
          <w:b/>
          <w:bCs/>
          <w:color w:val="1E3A5F"/>
          <w:sz w:val="44"/>
          <w:szCs w:val="44"/>
        </w:rPr>
        <w:t>Project Aegis</w:t>
      </w:r>
    </w:p>
    <w:p w14:paraId="7EDAB73D" w14:textId="77777777" w:rsidR="0007011C" w:rsidRDefault="00000000">
      <w:pPr>
        <w:spacing w:before="40" w:after="60"/>
      </w:pPr>
      <w:r>
        <w:rPr>
          <w:rFonts w:ascii="Arial" w:eastAsia="Arial" w:hAnsi="Arial" w:cs="Arial"/>
          <w:color w:val="2C5F8A"/>
          <w:sz w:val="22"/>
          <w:szCs w:val="22"/>
        </w:rPr>
        <w:t>Prescriptive KPI &amp; Performance Dashboard  ·  Autonomous Operational Governance Agent</w:t>
      </w:r>
    </w:p>
    <w:p w14:paraId="27B4A74F" w14:textId="0FE65B79" w:rsidR="0007011C" w:rsidRDefault="00A40372">
      <w:pPr>
        <w:spacing w:after="80"/>
      </w:pPr>
      <w:r>
        <w:rPr>
          <w:rFonts w:ascii="Arial" w:eastAsia="Arial" w:hAnsi="Arial" w:cs="Arial"/>
          <w:color w:val="64748B"/>
          <w:sz w:val="18"/>
          <w:szCs w:val="18"/>
        </w:rPr>
        <w:t xml:space="preserve">Authored by: </w:t>
      </w:r>
      <w:r>
        <w:rPr>
          <w:rFonts w:ascii="Arial" w:eastAsia="Arial" w:hAnsi="Arial" w:cs="Arial"/>
          <w:b/>
          <w:bCs/>
          <w:color w:val="1E293B"/>
          <w:sz w:val="18"/>
          <w:szCs w:val="18"/>
        </w:rPr>
        <w:t>Smita Harding, AI Transformation Lead</w:t>
      </w:r>
      <w:r>
        <w:rPr>
          <w:rFonts w:ascii="Arial" w:eastAsia="Arial" w:hAnsi="Arial" w:cs="Arial"/>
          <w:color w:val="64748B"/>
          <w:sz w:val="18"/>
          <w:szCs w:val="18"/>
        </w:rPr>
        <w:t xml:space="preserve">     Audience: </w:t>
      </w:r>
      <w:r>
        <w:rPr>
          <w:rFonts w:ascii="Arial" w:eastAsia="Arial" w:hAnsi="Arial" w:cs="Arial"/>
          <w:color w:val="1E293B"/>
          <w:sz w:val="18"/>
          <w:szCs w:val="18"/>
        </w:rPr>
        <w:t>VP Operations  ·  Director of Operations  ·  Director of Technology</w:t>
      </w:r>
    </w:p>
    <w:p w14:paraId="588336D2" w14:textId="77777777" w:rsidR="0007011C" w:rsidRDefault="0007011C">
      <w:pPr>
        <w:pBdr>
          <w:bottom w:val="single" w:sz="6" w:space="2" w:color="1E3A5F"/>
        </w:pBdr>
      </w:pPr>
    </w:p>
    <w:p w14:paraId="3CDB0E2D" w14:textId="77777777" w:rsidR="0007011C" w:rsidRDefault="0007011C">
      <w:pPr>
        <w:spacing w:after="80"/>
      </w:pPr>
    </w:p>
    <w:p w14:paraId="3ABB9FCD" w14:textId="77777777" w:rsidR="0007011C" w:rsidRDefault="00000000">
      <w:pPr>
        <w:pBdr>
          <w:bottom w:val="single" w:sz="4" w:space="4" w:color="2C5F8A"/>
        </w:pBdr>
        <w:spacing w:before="180" w:after="80"/>
      </w:pPr>
      <w:r>
        <w:rPr>
          <w:rFonts w:ascii="Arial" w:eastAsia="Arial" w:hAnsi="Arial" w:cs="Arial"/>
          <w:b/>
          <w:bCs/>
          <w:color w:val="2C5F8A"/>
          <w:sz w:val="22"/>
          <w:szCs w:val="22"/>
        </w:rPr>
        <w:t>1   The Problem — Current State</w:t>
      </w:r>
    </w:p>
    <w:p w14:paraId="4AEE51F1" w14:textId="77777777" w:rsidR="0007011C" w:rsidRDefault="00000000">
      <w:pPr>
        <w:spacing w:before="60" w:after="80"/>
      </w:pPr>
      <w:r>
        <w:rPr>
          <w:rFonts w:ascii="Arial" w:eastAsia="Arial" w:hAnsi="Arial" w:cs="Arial"/>
          <w:color w:val="1E293B"/>
        </w:rPr>
        <w:t>Pan-European B2B logistics payment operations managing 1,200–1,500 logistics companies across eight markets generate approximately 8,000–10,000 invoice line items per week. Contractual SLAs require payment release within 7 days and dispute resolution within 10 business days. When a KPI breaches its target, two things must happen fast: leadership must know, and corrective action must begin. Today, both happen slowly, for three compounding reasons.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5346"/>
      </w:tblGrid>
      <w:tr w:rsidR="0007011C" w14:paraId="7C014D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A558E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Failure</w:t>
            </w:r>
          </w:p>
        </w:tc>
        <w:tc>
          <w:tcPr>
            <w:tcW w:w="53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0FB9B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Business Impact</w:t>
            </w:r>
          </w:p>
        </w:tc>
      </w:tr>
      <w:tr w:rsidR="0007011C" w14:paraId="43A23186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5497B" w14:textId="77777777" w:rsidR="0007011C" w:rsidRDefault="00000000">
            <w:pPr>
              <w:spacing w:before="40" w:after="20"/>
            </w:pPr>
            <w:r>
              <w:rPr>
                <w:rFonts w:ascii="Arial" w:eastAsia="Arial" w:hAnsi="Arial" w:cs="Arial"/>
                <w:b/>
                <w:bCs/>
                <w:color w:val="1E293B"/>
                <w:sz w:val="19"/>
                <w:szCs w:val="19"/>
              </w:rPr>
              <w:t>Reporting lag</w:t>
            </w:r>
          </w:p>
          <w:p w14:paraId="5510CD39" w14:textId="77777777" w:rsidR="0007011C" w:rsidRDefault="00000000">
            <w:pPr>
              <w:spacing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3–7 days from KPI breach to leadership visibility.</w:t>
            </w:r>
          </w:p>
        </w:tc>
        <w:tc>
          <w:tcPr>
            <w:tcW w:w="53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DDFDF" w14:textId="690A404C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Correction windows often close before intervention is possible. Downstream financial and compliance exposure accumulates unchecked.</w:t>
            </w:r>
          </w:p>
        </w:tc>
      </w:tr>
      <w:tr w:rsidR="0007011C" w14:paraId="2BD442FD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2AE68" w14:textId="77777777" w:rsidR="0007011C" w:rsidRDefault="00000000">
            <w:pPr>
              <w:spacing w:before="40" w:after="20"/>
            </w:pPr>
            <w:r>
              <w:rPr>
                <w:rFonts w:ascii="Arial" w:eastAsia="Arial" w:hAnsi="Arial" w:cs="Arial"/>
                <w:b/>
                <w:bCs/>
                <w:color w:val="1E293B"/>
                <w:sz w:val="19"/>
                <w:szCs w:val="19"/>
              </w:rPr>
              <w:t>Analytical bottleneck</w:t>
            </w:r>
          </w:p>
          <w:p w14:paraId="3EF9B116" w14:textId="77777777" w:rsidR="0007011C" w:rsidRDefault="00000000">
            <w:pPr>
              <w:spacing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Senior PMs spend up to 30% of weekly capacity chasing operational leads across time zones.</w:t>
            </w:r>
          </w:p>
        </w:tc>
        <w:tc>
          <w:tcPr>
            <w:tcW w:w="53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B62A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Analyst capacity consumed by data gathering rather than solution design. Briefing quality is inconsistent and time-dependent.</w:t>
            </w:r>
          </w:p>
        </w:tc>
      </w:tr>
      <w:tr w:rsidR="0007011C" w14:paraId="77C73C67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A9EBC" w14:textId="77777777" w:rsidR="0007011C" w:rsidRDefault="00000000">
            <w:pPr>
              <w:spacing w:before="40" w:after="20"/>
            </w:pPr>
            <w:r>
              <w:rPr>
                <w:rFonts w:ascii="Arial" w:eastAsia="Arial" w:hAnsi="Arial" w:cs="Arial"/>
                <w:b/>
                <w:bCs/>
                <w:color w:val="1E293B"/>
                <w:sz w:val="19"/>
                <w:szCs w:val="19"/>
              </w:rPr>
              <w:t>Governance risk</w:t>
            </w:r>
          </w:p>
          <w:p w14:paraId="5D4835F6" w14:textId="1CE48193" w:rsidR="0007011C" w:rsidRDefault="00000000">
            <w:pPr>
              <w:spacing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Structured KPI data and unstructured incident logs — IT tickets, shift notes, dispute records — are almost never systematically cross-referenced.</w:t>
            </w:r>
          </w:p>
        </w:tc>
        <w:tc>
          <w:tcPr>
            <w:tcW w:w="53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B09E4" w14:textId="12EFDC6A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Corrective action plans rely on memory and institutional knowledge. Root cause analysis is anecdotal, incomplete, and variable in quality.</w:t>
            </w:r>
          </w:p>
        </w:tc>
      </w:tr>
    </w:tbl>
    <w:p w14:paraId="31652DAF" w14:textId="77777777" w:rsidR="0007011C" w:rsidRDefault="0007011C">
      <w:pPr>
        <w:spacing w:after="120"/>
      </w:pPr>
    </w:p>
    <w:p w14:paraId="11966C91" w14:textId="146C4D40" w:rsidR="0007011C" w:rsidRDefault="00000000">
      <w:pPr>
        <w:pBdr>
          <w:bottom w:val="single" w:sz="4" w:space="4" w:color="2C5F8A"/>
        </w:pBdr>
        <w:spacing w:before="180" w:after="80"/>
      </w:pPr>
      <w:r>
        <w:rPr>
          <w:rFonts w:ascii="Arial" w:eastAsia="Arial" w:hAnsi="Arial" w:cs="Arial"/>
          <w:b/>
          <w:bCs/>
          <w:color w:val="2C5F8A"/>
          <w:sz w:val="22"/>
          <w:szCs w:val="22"/>
        </w:rPr>
        <w:t>2   The Solution — To-Be State</w:t>
      </w:r>
    </w:p>
    <w:p w14:paraId="52CFAFEC" w14:textId="2FAEE0C3" w:rsidR="0007011C" w:rsidRDefault="00000000">
      <w:pPr>
        <w:spacing w:before="60" w:after="80"/>
      </w:pPr>
      <w:r>
        <w:rPr>
          <w:rFonts w:ascii="Arial" w:eastAsia="Arial" w:hAnsi="Arial" w:cs="Arial"/>
          <w:color w:val="1E293B"/>
        </w:rPr>
        <w:t>Project Aegis replaces manual reporting with an autonomous AI governance agent. The moment a KPI breaches its SLA threshold, the system detects it, cross-references the corresponding operational logs, and generates a tailored prescriptive briefings for leadership as well as business operations teams without human intervention.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073"/>
        <w:gridCol w:w="3873"/>
      </w:tblGrid>
      <w:tr w:rsidR="0007011C" w14:paraId="4814B0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CC1E3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Capability</w:t>
            </w:r>
          </w:p>
        </w:tc>
        <w:tc>
          <w:tcPr>
            <w:tcW w:w="3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6CA14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As-Is</w:t>
            </w:r>
          </w:p>
        </w:tc>
        <w:tc>
          <w:tcPr>
            <w:tcW w:w="38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1A7F5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325FA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With Project Aegis</w:t>
            </w:r>
          </w:p>
        </w:tc>
      </w:tr>
      <w:tr w:rsidR="0007011C" w14:paraId="6EB5CD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53EE8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1E293B"/>
                <w:sz w:val="19"/>
                <w:szCs w:val="19"/>
              </w:rPr>
              <w:t>Time to insight</w:t>
            </w:r>
          </w:p>
        </w:tc>
        <w:tc>
          <w:tcPr>
            <w:tcW w:w="3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B21F2" w14:textId="6E051E31" w:rsidR="0007011C" w:rsidRDefault="005E6EBF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1–7 days</w:t>
            </w:r>
          </w:p>
        </w:tc>
        <w:tc>
          <w:tcPr>
            <w:tcW w:w="38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22EB0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1A7F5A"/>
                <w:sz w:val="19"/>
                <w:szCs w:val="19"/>
              </w:rPr>
              <w:t>Minutes</w:t>
            </w:r>
          </w:p>
        </w:tc>
      </w:tr>
      <w:tr w:rsidR="0007011C" w14:paraId="5EF4D22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7F23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1E293B"/>
                <w:sz w:val="19"/>
                <w:szCs w:val="19"/>
              </w:rPr>
              <w:t>Briefing preparation</w:t>
            </w:r>
          </w:p>
        </w:tc>
        <w:tc>
          <w:tcPr>
            <w:tcW w:w="3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34933" w14:textId="5CFE0B89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Manual — senior PM drafts based on inputs from operations leads and ad hoc data pulls</w:t>
            </w:r>
          </w:p>
        </w:tc>
        <w:tc>
          <w:tcPr>
            <w:tcW w:w="38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E59F" w14:textId="190D7E48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Autonomous — AI-generated from operational data</w:t>
            </w:r>
          </w:p>
        </w:tc>
      </w:tr>
      <w:tr w:rsidR="0007011C" w14:paraId="6FC539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F6115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1E293B"/>
                <w:sz w:val="19"/>
                <w:szCs w:val="19"/>
              </w:rPr>
              <w:t>Root cause analysis</w:t>
            </w:r>
          </w:p>
        </w:tc>
        <w:tc>
          <w:tcPr>
            <w:tcW w:w="3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C5BF0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Retrospective and anecdotal; structured and unstructured data reviewed separately</w:t>
            </w:r>
          </w:p>
        </w:tc>
        <w:tc>
          <w:tcPr>
            <w:tcW w:w="38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E307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KPI variance data and operational incident logs cross-referenced simultaneously at point of breach</w:t>
            </w:r>
          </w:p>
        </w:tc>
      </w:tr>
      <w:tr w:rsidR="0007011C" w14:paraId="35D93D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A28FE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1E293B"/>
                <w:sz w:val="19"/>
                <w:szCs w:val="19"/>
              </w:rPr>
              <w:t>Governance scope</w:t>
            </w:r>
          </w:p>
        </w:tc>
        <w:tc>
          <w:tcPr>
            <w:tcW w:w="3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39BEB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One market or workstream at a time</w:t>
            </w:r>
          </w:p>
        </w:tc>
        <w:tc>
          <w:tcPr>
            <w:tcW w:w="38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18C1F" w14:textId="395C273B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Pan-European — all markets and key metrics monitored simultaneously</w:t>
            </w:r>
          </w:p>
        </w:tc>
      </w:tr>
      <w:tr w:rsidR="0007011C" w14:paraId="3723AD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C391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1E293B"/>
                <w:sz w:val="19"/>
                <w:szCs w:val="19"/>
              </w:rPr>
              <w:t>PM capacity freed</w:t>
            </w:r>
          </w:p>
        </w:tc>
        <w:tc>
          <w:tcPr>
            <w:tcW w:w="3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64D5E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Up to 30% weekly capacity spent on variance report preparation</w:t>
            </w:r>
          </w:p>
        </w:tc>
        <w:tc>
          <w:tcPr>
            <w:tcW w:w="38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2E337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Reporting automated — PM capacity redirected to corrective action and strategic delivery</w:t>
            </w:r>
          </w:p>
        </w:tc>
      </w:tr>
    </w:tbl>
    <w:p w14:paraId="6EC56B02" w14:textId="77777777" w:rsidR="0007011C" w:rsidRDefault="00000000">
      <w:r>
        <w:br w:type="page"/>
      </w:r>
    </w:p>
    <w:p w14:paraId="26A730CD" w14:textId="77777777" w:rsidR="0007011C" w:rsidRDefault="00000000">
      <w:pPr>
        <w:pBdr>
          <w:bottom w:val="single" w:sz="4" w:space="4" w:color="2C5F8A"/>
        </w:pBdr>
        <w:spacing w:before="180" w:after="80"/>
      </w:pPr>
      <w:r>
        <w:rPr>
          <w:rFonts w:ascii="Arial" w:eastAsia="Arial" w:hAnsi="Arial" w:cs="Arial"/>
          <w:b/>
          <w:bCs/>
          <w:color w:val="2C5F8A"/>
          <w:sz w:val="22"/>
          <w:szCs w:val="22"/>
        </w:rPr>
        <w:lastRenderedPageBreak/>
        <w:t>3   What Is Being Launched</w:t>
      </w:r>
    </w:p>
    <w:p w14:paraId="4137EBD7" w14:textId="01F74E50" w:rsidR="00846154" w:rsidRDefault="00000000">
      <w:pPr>
        <w:spacing w:before="60" w:after="80"/>
        <w:rPr>
          <w:rFonts w:ascii="Arial" w:eastAsia="Arial" w:hAnsi="Arial" w:cs="Arial"/>
          <w:color w:val="1E293B"/>
        </w:rPr>
      </w:pPr>
      <w:r>
        <w:rPr>
          <w:rFonts w:ascii="Arial" w:eastAsia="Arial" w:hAnsi="Arial" w:cs="Arial"/>
          <w:color w:val="1E293B"/>
        </w:rPr>
        <w:t xml:space="preserve">Project Aegis v1.0 is a fully operational governance dashboard built on a simulated 16-week scenario dataset. It is structured across four layers: </w:t>
      </w:r>
    </w:p>
    <w:p w14:paraId="06B2E9AC" w14:textId="77777777" w:rsidR="00846154" w:rsidRPr="00846154" w:rsidRDefault="00000000" w:rsidP="00846154">
      <w:pPr>
        <w:pStyle w:val="ListParagraph"/>
        <w:numPr>
          <w:ilvl w:val="0"/>
          <w:numId w:val="2"/>
        </w:numPr>
        <w:spacing w:before="60" w:after="80"/>
      </w:pPr>
      <w:r>
        <w:rPr>
          <w:rFonts w:ascii="Arial" w:eastAsia="Arial" w:hAnsi="Arial" w:cs="Arial"/>
          <w:color w:val="1E293B"/>
        </w:rPr>
        <w:t xml:space="preserve">a </w:t>
      </w:r>
      <w:r>
        <w:rPr>
          <w:rFonts w:ascii="Arial" w:eastAsia="Arial" w:hAnsi="Arial" w:cs="Arial"/>
          <w:b/>
          <w:bCs/>
          <w:color w:val="1E293B"/>
        </w:rPr>
        <w:t>data layer</w:t>
      </w:r>
      <w:r>
        <w:rPr>
          <w:rFonts w:ascii="Arial" w:eastAsia="Arial" w:hAnsi="Arial" w:cs="Arial"/>
          <w:color w:val="1E293B"/>
        </w:rPr>
        <w:t xml:space="preserve"> (SQLite database seeded with formula-derived KPI data and operational incident notes);</w:t>
      </w:r>
    </w:p>
    <w:p w14:paraId="5CBC7F41" w14:textId="77777777" w:rsidR="00846154" w:rsidRPr="00846154" w:rsidRDefault="00000000" w:rsidP="00846154">
      <w:pPr>
        <w:pStyle w:val="ListParagraph"/>
        <w:numPr>
          <w:ilvl w:val="0"/>
          <w:numId w:val="2"/>
        </w:numPr>
        <w:spacing w:before="60" w:after="80"/>
      </w:pPr>
      <w:r>
        <w:rPr>
          <w:rFonts w:ascii="Arial" w:eastAsia="Arial" w:hAnsi="Arial" w:cs="Arial"/>
          <w:color w:val="1E293B"/>
        </w:rPr>
        <w:t xml:space="preserve">a </w:t>
      </w:r>
      <w:r>
        <w:rPr>
          <w:rFonts w:ascii="Arial" w:eastAsia="Arial" w:hAnsi="Arial" w:cs="Arial"/>
          <w:b/>
          <w:bCs/>
          <w:color w:val="1E293B"/>
        </w:rPr>
        <w:t>detection layer</w:t>
      </w:r>
      <w:r>
        <w:rPr>
          <w:rFonts w:ascii="Arial" w:eastAsia="Arial" w:hAnsi="Arial" w:cs="Arial"/>
          <w:color w:val="1E293B"/>
        </w:rPr>
        <w:t xml:space="preserve"> (rule-based anomaly engine evaluating all ten KPIs against configurable SLA thresholds and week-on-week deterioration rules); </w:t>
      </w:r>
    </w:p>
    <w:p w14:paraId="57042488" w14:textId="77777777" w:rsidR="00846154" w:rsidRPr="00846154" w:rsidRDefault="00000000" w:rsidP="00846154">
      <w:pPr>
        <w:pStyle w:val="ListParagraph"/>
        <w:numPr>
          <w:ilvl w:val="0"/>
          <w:numId w:val="2"/>
        </w:numPr>
        <w:spacing w:before="60" w:after="80"/>
      </w:pPr>
      <w:r>
        <w:rPr>
          <w:rFonts w:ascii="Arial" w:eastAsia="Arial" w:hAnsi="Arial" w:cs="Arial"/>
          <w:color w:val="1E293B"/>
        </w:rPr>
        <w:t xml:space="preserve">an </w:t>
      </w:r>
      <w:r>
        <w:rPr>
          <w:rFonts w:ascii="Arial" w:eastAsia="Arial" w:hAnsi="Arial" w:cs="Arial"/>
          <w:b/>
          <w:bCs/>
          <w:color w:val="1E293B"/>
        </w:rPr>
        <w:t>intelligence layer</w:t>
      </w:r>
      <w:r>
        <w:rPr>
          <w:rFonts w:ascii="Arial" w:eastAsia="Arial" w:hAnsi="Arial" w:cs="Arial"/>
          <w:color w:val="1E293B"/>
        </w:rPr>
        <w:t xml:space="preserve"> (dual Claude AI personas — one calibrated to executive financial risk, one to operational root cause); </w:t>
      </w:r>
    </w:p>
    <w:p w14:paraId="7707F2B9" w14:textId="41A7A224" w:rsidR="0007011C" w:rsidRDefault="00000000" w:rsidP="00846154">
      <w:pPr>
        <w:pStyle w:val="ListParagraph"/>
        <w:numPr>
          <w:ilvl w:val="0"/>
          <w:numId w:val="2"/>
        </w:numPr>
        <w:spacing w:before="60" w:after="80"/>
      </w:pPr>
      <w:r>
        <w:rPr>
          <w:rFonts w:ascii="Arial" w:eastAsia="Arial" w:hAnsi="Arial" w:cs="Arial"/>
          <w:color w:val="1E293B"/>
        </w:rPr>
        <w:t xml:space="preserve">a </w:t>
      </w:r>
      <w:r>
        <w:rPr>
          <w:rFonts w:ascii="Arial" w:eastAsia="Arial" w:hAnsi="Arial" w:cs="Arial"/>
          <w:b/>
          <w:bCs/>
          <w:color w:val="1E293B"/>
        </w:rPr>
        <w:t>presentation layer</w:t>
      </w:r>
      <w:r>
        <w:rPr>
          <w:rFonts w:ascii="Arial" w:eastAsia="Arial" w:hAnsi="Arial" w:cs="Arial"/>
          <w:color w:val="1E293B"/>
        </w:rPr>
        <w:t xml:space="preserve"> (Streamlit dashboard with two governance views, interactive 12-week trend charts, and prescriptive briefing panels).</w:t>
      </w:r>
    </w:p>
    <w:p w14:paraId="06F7A3A3" w14:textId="77777777" w:rsidR="0007011C" w:rsidRDefault="00000000">
      <w:pPr>
        <w:spacing w:before="80" w:after="40"/>
      </w:pPr>
      <w:r>
        <w:rPr>
          <w:rFonts w:ascii="Arial" w:eastAsia="Arial" w:hAnsi="Arial" w:cs="Arial"/>
          <w:b/>
          <w:bCs/>
          <w:color w:val="64748B"/>
          <w:sz w:val="18"/>
          <w:szCs w:val="18"/>
        </w:rPr>
        <w:t>KPI Coverage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173"/>
        <w:gridCol w:w="3373"/>
      </w:tblGrid>
      <w:tr w:rsidR="0007011C" w14:paraId="075B1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D6494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KPI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85CBA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SLA Target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A390A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Governance View</w:t>
            </w:r>
          </w:p>
        </w:tc>
      </w:tr>
      <w:tr w:rsidR="0007011C" w14:paraId="27602CB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1D0AB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Invoice SLA Breach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F13C7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= 0 (zero tolerance)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68319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VP / Executive</w:t>
            </w:r>
          </w:p>
        </w:tc>
      </w:tr>
      <w:tr w:rsidR="0007011C" w14:paraId="6F9F358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FA7F8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Payment Accuracy Rate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9FE0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≥ 97%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1127E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VP / Executive</w:t>
            </w:r>
          </w:p>
        </w:tc>
      </w:tr>
      <w:tr w:rsidR="0007011C" w14:paraId="6DAFD8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46583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Dispute Rate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72FB9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&lt; 3%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EC3F1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VP / Executive</w:t>
            </w:r>
          </w:p>
        </w:tc>
      </w:tr>
      <w:tr w:rsidR="0007011C" w14:paraId="2965484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4926A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Invoice Volume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AEAB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Baseline ~8,500/wk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6BEDF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VP / Executive</w:t>
            </w:r>
          </w:p>
        </w:tc>
      </w:tr>
      <w:tr w:rsidR="0007011C" w14:paraId="0407862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3A344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First-Pass Resolution Rate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B33C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≥ 95%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D5AF7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BPE / Operations</w:t>
            </w:r>
          </w:p>
        </w:tc>
      </w:tr>
      <w:tr w:rsidR="0007011C" w14:paraId="1D5A426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1760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Processing Cycle Time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8F248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&lt; 3 days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9FE7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BPE / Operations</w:t>
            </w:r>
          </w:p>
        </w:tc>
      </w:tr>
      <w:tr w:rsidR="0007011C" w14:paraId="71F824B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228F5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Invoice Exception Rate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A1A0C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&lt; 2%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5E61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BPE / Operations</w:t>
            </w:r>
          </w:p>
        </w:tc>
      </w:tr>
      <w:tr w:rsidR="0007011C" w14:paraId="25D2F7D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57B10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Stuck Invoice Count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EF4F3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&lt; 20 invoices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C379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BPE / Operations</w:t>
            </w:r>
          </w:p>
        </w:tc>
      </w:tr>
      <w:tr w:rsidR="0007011C" w14:paraId="72A641C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9C4E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Dispute Resolution Rate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37955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≥ 90%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7A30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BPE / Operations</w:t>
            </w:r>
          </w:p>
        </w:tc>
      </w:tr>
      <w:tr w:rsidR="0007011C" w14:paraId="0BC2900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64DED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Manual Processing Hours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866D3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&lt; 200 hrs/week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6B85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BPE / Operations</w:t>
            </w:r>
          </w:p>
        </w:tc>
      </w:tr>
      <w:tr>
        <w:tc>
          <w:tcPr>
            <w:tcW w:w="2454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Open Dispute Count</w:t>
            </w:r>
          </w:p>
        </w:tc>
        <w:tc>
          <w:tcPr>
            <w:tcW w:w="1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Volume tracker</w:t>
            </w:r>
          </w:p>
        </w:tc>
        <w:tc>
          <w:tcPr>
            <w:tcW w:w="21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No target</w:t>
            </w:r>
          </w:p>
        </w:tc>
        <w:tc>
          <w:tcPr>
            <w:tcW w:w="3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BPE / Operations</w:t>
            </w:r>
          </w:p>
        </w:tc>
      </w:tr>
    </w:tbl>
    <w:p w14:paraId="421B432A" w14:textId="77777777" w:rsidR="0007011C" w:rsidRDefault="0007011C">
      <w:pPr>
        <w:spacing w:after="120"/>
      </w:pPr>
    </w:p>
    <w:p w14:paraId="2AEC8311" w14:textId="77777777" w:rsidR="0007011C" w:rsidRDefault="00000000">
      <w:pPr>
        <w:spacing w:before="80" w:after="40"/>
      </w:pPr>
      <w:r>
        <w:rPr>
          <w:rFonts w:ascii="Arial" w:eastAsia="Arial" w:hAnsi="Arial" w:cs="Arial"/>
          <w:b/>
          <w:bCs/>
          <w:color w:val="64748B"/>
          <w:sz w:val="18"/>
          <w:szCs w:val="18"/>
        </w:rPr>
        <w:t>AI Agent — Dual Persona System</w:t>
      </w:r>
    </w:p>
    <w:p w14:paraId="4E6CF0BA" w14:textId="0509AD6C" w:rsidR="0007011C" w:rsidRDefault="00000000">
      <w:pPr>
        <w:spacing w:before="40" w:after="60"/>
      </w:pPr>
      <w:r>
        <w:rPr>
          <w:rFonts w:ascii="Arial" w:eastAsia="Arial" w:hAnsi="Arial" w:cs="Arial"/>
          <w:color w:val="1E293B"/>
        </w:rPr>
        <w:t xml:space="preserve">Two AI personas are deployed, each calibrated to its audience. The </w:t>
      </w:r>
      <w:r>
        <w:rPr>
          <w:rFonts w:ascii="Arial" w:eastAsia="Arial" w:hAnsi="Arial" w:cs="Arial"/>
          <w:b/>
          <w:bCs/>
          <w:color w:val="2C5F8A"/>
        </w:rPr>
        <w:t>Executive Copilot</w:t>
      </w:r>
      <w:r>
        <w:rPr>
          <w:rFonts w:ascii="Arial" w:eastAsia="Arial" w:hAnsi="Arial" w:cs="Arial"/>
          <w:color w:val="1E293B"/>
        </w:rPr>
        <w:t xml:space="preserve"> frames each breach in terms of financial exposure, capital risk, and governance accountability with language suited to VP-level steering. The </w:t>
      </w:r>
      <w:r>
        <w:rPr>
          <w:rFonts w:ascii="Arial" w:eastAsia="Arial" w:hAnsi="Arial" w:cs="Arial"/>
          <w:b/>
          <w:bCs/>
          <w:color w:val="1A7F5A"/>
        </w:rPr>
        <w:t>Operations Copilot</w:t>
      </w:r>
      <w:r>
        <w:rPr>
          <w:rFonts w:ascii="Arial" w:eastAsia="Arial" w:hAnsi="Arial" w:cs="Arial"/>
          <w:color w:val="1E293B"/>
        </w:rPr>
        <w:t xml:space="preserve"> delivers tactical root cause analysis and three ranked corrective actions with expected operational impact. Both agents simultaneously ingest structured KPI variance data and qualitative operational incident notes, producing correlated, evidence-based output with no human drafting required.</w:t>
      </w:r>
    </w:p>
    <w:p w14:paraId="467790BF" w14:textId="77777777" w:rsidR="00FB750B" w:rsidRDefault="00000000" w:rsidP="00FB750B">
      <w:pPr>
        <w:spacing w:after="60"/>
      </w:pPr>
      <w:r>
        <w:rPr>
          <w:rFonts w:ascii="Arial" w:eastAsia="Arial" w:hAnsi="Arial" w:cs="Arial"/>
          <w:i/>
          <w:iCs/>
          <w:color w:val="64748B"/>
          <w:sz w:val="18"/>
          <w:szCs w:val="18"/>
        </w:rPr>
        <w:t>Model: Claude Haiku (Anthropic). Output format: structured JSON schema enforced at the prompt level — deterministic, field-by-field rendered, no free-form generation risk.</w:t>
      </w:r>
    </w:p>
    <w:p w14:paraId="2BAB37F7" w14:textId="77777777" w:rsidR="00FB750B" w:rsidRDefault="00FB750B" w:rsidP="00FB750B">
      <w:pPr>
        <w:spacing w:after="60"/>
      </w:pPr>
    </w:p>
    <w:p w14:paraId="2161EB6D" w14:textId="73F8D25D" w:rsidR="0007011C" w:rsidRDefault="00000000" w:rsidP="00FB750B">
      <w:pPr>
        <w:pBdr>
          <w:bottom w:val="single" w:sz="4" w:space="1" w:color="auto"/>
        </w:pBdr>
        <w:spacing w:after="60"/>
      </w:pPr>
      <w:r>
        <w:rPr>
          <w:rFonts w:ascii="Arial" w:eastAsia="Arial" w:hAnsi="Arial" w:cs="Arial"/>
          <w:b/>
          <w:bCs/>
          <w:color w:val="2C5F8A"/>
          <w:sz w:val="22"/>
          <w:szCs w:val="22"/>
        </w:rPr>
        <w:t>4 Accuracy &amp; Data Quality</w:t>
      </w:r>
    </w:p>
    <w:p w14:paraId="44918273" w14:textId="73E8D838" w:rsidR="0007011C" w:rsidRDefault="00000000">
      <w:pPr>
        <w:spacing w:before="60" w:after="80"/>
        <w:rPr>
          <w:rFonts w:ascii="Arial" w:eastAsia="Arial" w:hAnsi="Arial" w:cs="Arial"/>
          <w:color w:val="1E293B"/>
        </w:rPr>
      </w:pPr>
      <w:r>
        <w:rPr>
          <w:rFonts w:ascii="Arial" w:eastAsia="Arial" w:hAnsi="Arial" w:cs="Arial"/>
          <w:color w:val="1E293B"/>
        </w:rPr>
        <w:t>v1.0 runs on 16 weeks of simulated data covering two distinct incident events: an ERP system failure (Weeks 8–12) and a staffing and volume pressure event (Weeks 14–16). KPI values are formula-derived using a validated workforce capacity model. All anomaly thresholds are configurable and fully documented in the Technical Requirements Document (TRD). AI output is rendered field-by-field from a structured JSON schema whereby hallucination risk in the briefing format is eliminated by design.</w:t>
      </w:r>
    </w:p>
    <w:p w14:paraId="1FE43806" w14:textId="77777777" w:rsidR="00FB750B" w:rsidRDefault="00FB750B">
      <w:pPr>
        <w:spacing w:before="60" w:after="80"/>
        <w:rPr>
          <w:rFonts w:ascii="Arial" w:eastAsia="Arial" w:hAnsi="Arial" w:cs="Arial"/>
          <w:color w:val="1E293B"/>
        </w:rPr>
      </w:pPr>
    </w:p>
    <w:p w14:paraId="47AFF087" w14:textId="77777777" w:rsidR="00FB750B" w:rsidRDefault="00FB750B">
      <w:pPr>
        <w:spacing w:before="60" w:after="80"/>
        <w:rPr>
          <w:rFonts w:ascii="Arial" w:eastAsia="Arial" w:hAnsi="Arial" w:cs="Arial"/>
          <w:color w:val="1E293B"/>
        </w:rPr>
      </w:pPr>
    </w:p>
    <w:p w14:paraId="1CE8BEFE" w14:textId="77777777" w:rsidR="00FB750B" w:rsidRDefault="00FB750B">
      <w:pPr>
        <w:spacing w:before="60" w:after="80"/>
        <w:rPr>
          <w:rFonts w:ascii="Arial" w:eastAsia="Arial" w:hAnsi="Arial" w:cs="Arial"/>
          <w:color w:val="1E293B"/>
        </w:rPr>
      </w:pPr>
    </w:p>
    <w:p w14:paraId="4EA3BB84" w14:textId="77777777" w:rsidR="00FB750B" w:rsidRDefault="00FB750B">
      <w:pPr>
        <w:spacing w:before="60" w:after="80"/>
        <w:rPr>
          <w:rFonts w:ascii="Arial" w:eastAsia="Arial" w:hAnsi="Arial" w:cs="Arial"/>
          <w:color w:val="1E293B"/>
        </w:rPr>
      </w:pPr>
    </w:p>
    <w:p w14:paraId="73E45DC4" w14:textId="77777777" w:rsidR="00FB750B" w:rsidRDefault="00FB750B">
      <w:pPr>
        <w:spacing w:before="60" w:after="80"/>
        <w:rPr>
          <w:rFonts w:ascii="Arial" w:eastAsia="Arial" w:hAnsi="Arial" w:cs="Arial"/>
          <w:color w:val="1E293B"/>
        </w:rPr>
      </w:pPr>
    </w:p>
    <w:p w14:paraId="3D85700C" w14:textId="77777777" w:rsidR="00FB750B" w:rsidRDefault="00FB750B">
      <w:pPr>
        <w:spacing w:before="60" w:after="80"/>
      </w:pPr>
    </w:p>
    <w:p w14:paraId="1D46450E" w14:textId="77777777" w:rsidR="0007011C" w:rsidRDefault="00000000">
      <w:pPr>
        <w:pBdr>
          <w:bottom w:val="single" w:sz="4" w:space="4" w:color="2C5F8A"/>
        </w:pBdr>
        <w:spacing w:before="180" w:after="80"/>
      </w:pPr>
      <w:r>
        <w:rPr>
          <w:rFonts w:ascii="Arial" w:eastAsia="Arial" w:hAnsi="Arial" w:cs="Arial"/>
          <w:b/>
          <w:bCs/>
          <w:color w:val="2C5F8A"/>
          <w:sz w:val="22"/>
          <w:szCs w:val="22"/>
        </w:rPr>
        <w:lastRenderedPageBreak/>
        <w:t>5   Risks &amp; Mitigations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1400"/>
        <w:gridCol w:w="5046"/>
      </w:tblGrid>
      <w:tr w:rsidR="0007011C" w14:paraId="3CED41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3E44F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Risk</w:t>
            </w:r>
          </w:p>
        </w:tc>
        <w:tc>
          <w:tcPr>
            <w:tcW w:w="1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A6357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Likelihood</w:t>
            </w:r>
          </w:p>
        </w:tc>
        <w:tc>
          <w:tcPr>
            <w:tcW w:w="50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20D19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Mitigation</w:t>
            </w:r>
          </w:p>
        </w:tc>
      </w:tr>
      <w:tr w:rsidR="0007011C" w14:paraId="15D74C8A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FB85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AI output inaccuracy</w:t>
            </w:r>
          </w:p>
        </w:tc>
        <w:tc>
          <w:tcPr>
            <w:tcW w:w="1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FC2CA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1A7F5A"/>
                <w:sz w:val="19"/>
                <w:szCs w:val="19"/>
              </w:rPr>
              <w:t>Low</w:t>
            </w:r>
          </w:p>
        </w:tc>
        <w:tc>
          <w:tcPr>
            <w:tcW w:w="50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0897D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Structured JSON schema enforced at prompt level; output rendered field-by-field. No free-text generation in governance briefing.</w:t>
            </w:r>
          </w:p>
        </w:tc>
      </w:tr>
      <w:tr w:rsidR="0007011C" w14:paraId="4580882A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0129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Data quality dependency (live data in v2.0)</w:t>
            </w:r>
          </w:p>
        </w:tc>
        <w:tc>
          <w:tcPr>
            <w:tcW w:w="1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FEF3C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5F72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D97706"/>
                <w:sz w:val="19"/>
                <w:szCs w:val="19"/>
              </w:rPr>
              <w:t>Medium</w:t>
            </w:r>
          </w:p>
        </w:tc>
        <w:tc>
          <w:tcPr>
            <w:tcW w:w="50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6A9E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Anomaly engine flags data gaps. GDPR and data access review required before any live ERP or warehouse connection.</w:t>
            </w:r>
          </w:p>
        </w:tc>
      </w:tr>
      <w:tr w:rsidR="0007011C" w14:paraId="2544C77D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48228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API key exposure</w:t>
            </w:r>
          </w:p>
        </w:tc>
        <w:tc>
          <w:tcPr>
            <w:tcW w:w="1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21CA3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1A7F5A"/>
                <w:sz w:val="19"/>
                <w:szCs w:val="19"/>
              </w:rPr>
              <w:t>Low</w:t>
            </w:r>
          </w:p>
        </w:tc>
        <w:tc>
          <w:tcPr>
            <w:tcW w:w="50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16677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Key stored in Streamlit Secrets Manager. Never committed to source control. Rotation policy to be set at post-launch handover.</w:t>
            </w:r>
          </w:p>
        </w:tc>
      </w:tr>
      <w:tr w:rsidR="0007011C" w14:paraId="2A19D8AF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5BB3C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v1.0 simulated data</w:t>
            </w:r>
          </w:p>
        </w:tc>
        <w:tc>
          <w:tcPr>
            <w:tcW w:w="1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CC8D0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64748B"/>
                <w:sz w:val="19"/>
                <w:szCs w:val="19"/>
              </w:rPr>
              <w:t>Known</w:t>
            </w:r>
          </w:p>
        </w:tc>
        <w:tc>
          <w:tcPr>
            <w:tcW w:w="50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08923" w14:textId="61103085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Clearly scoped as portfolio demonstration. v2.0 live data path — Snowflake/BigQuery connector, dbt models, Airflow scheduling — is fully documented in the Implementation Plan.</w:t>
            </w:r>
          </w:p>
        </w:tc>
      </w:tr>
      <w:tr w:rsidR="0007011C" w14:paraId="017FA2A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A8AAA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Cold-start delay on Streamlit Cloud</w:t>
            </w:r>
          </w:p>
        </w:tc>
        <w:tc>
          <w:tcPr>
            <w:tcW w:w="1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6747A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1A7F5A"/>
                <w:sz w:val="19"/>
                <w:szCs w:val="19"/>
              </w:rPr>
              <w:t>Low</w:t>
            </w:r>
          </w:p>
        </w:tc>
        <w:tc>
          <w:tcPr>
            <w:tcW w:w="50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F223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DB auto-init guard runs on startup; approximately 5 seconds on first load, then cached. No data loss risk.</w:t>
            </w:r>
          </w:p>
        </w:tc>
      </w:tr>
    </w:tbl>
    <w:p w14:paraId="188F5C8D" w14:textId="77777777" w:rsidR="0007011C" w:rsidRDefault="0007011C">
      <w:pPr>
        <w:spacing w:after="80"/>
      </w:pPr>
    </w:p>
    <w:p w14:paraId="4EDE4113" w14:textId="77777777" w:rsidR="0007011C" w:rsidRDefault="00000000">
      <w:pPr>
        <w:pBdr>
          <w:bottom w:val="single" w:sz="4" w:space="4" w:color="2C5F8A"/>
        </w:pBdr>
        <w:spacing w:before="180" w:after="80"/>
      </w:pPr>
      <w:r>
        <w:rPr>
          <w:rFonts w:ascii="Arial" w:eastAsia="Arial" w:hAnsi="Arial" w:cs="Arial"/>
          <w:b/>
          <w:bCs/>
          <w:color w:val="2C5F8A"/>
          <w:sz w:val="22"/>
          <w:szCs w:val="22"/>
        </w:rPr>
        <w:t>6   Operating Costs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746"/>
      </w:tblGrid>
      <w:tr w:rsidR="0007011C" w14:paraId="6A50D6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34F8E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67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FCE0E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</w:t>
            </w:r>
          </w:p>
        </w:tc>
      </w:tr>
      <w:tr w:rsidR="0007011C" w14:paraId="0921145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8A6C0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Streamlit Community Cloud</w:t>
            </w:r>
          </w:p>
        </w:tc>
        <w:tc>
          <w:tcPr>
            <w:tcW w:w="67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1E87F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Free tier — no infrastructure cost</w:t>
            </w:r>
          </w:p>
        </w:tc>
      </w:tr>
      <w:tr w:rsidR="0007011C" w14:paraId="0485D2E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572DE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Claude Haiku API (per briefing)</w:t>
            </w:r>
          </w:p>
        </w:tc>
        <w:tc>
          <w:tcPr>
            <w:tcW w:w="67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489C3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~$0.0025 per generation (2 API calls × ~500 tokens). At 10 briefings/week: under $0.10/week.</w:t>
            </w:r>
          </w:p>
        </w:tc>
      </w:tr>
      <w:tr w:rsidR="0007011C" w14:paraId="16A055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80829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Additional compute / licensing</w:t>
            </w:r>
          </w:p>
        </w:tc>
        <w:tc>
          <w:tcPr>
            <w:tcW w:w="67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DE17C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None in v1.0.</w:t>
            </w:r>
          </w:p>
        </w:tc>
      </w:tr>
    </w:tbl>
    <w:p w14:paraId="1FEA8E24" w14:textId="77777777" w:rsidR="0007011C" w:rsidRDefault="0007011C">
      <w:pPr>
        <w:spacing w:after="80"/>
      </w:pPr>
    </w:p>
    <w:p w14:paraId="045BAF15" w14:textId="77777777" w:rsidR="0007011C" w:rsidRDefault="00000000">
      <w:pPr>
        <w:pBdr>
          <w:bottom w:val="single" w:sz="4" w:space="4" w:color="2C5F8A"/>
        </w:pBdr>
        <w:spacing w:before="180" w:after="80"/>
      </w:pPr>
      <w:r>
        <w:rPr>
          <w:rFonts w:ascii="Arial" w:eastAsia="Arial" w:hAnsi="Arial" w:cs="Arial"/>
          <w:b/>
          <w:bCs/>
          <w:color w:val="2C5F8A"/>
          <w:sz w:val="22"/>
          <w:szCs w:val="22"/>
        </w:rPr>
        <w:t>7   Post-Launch Success Metrics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4373"/>
        <w:gridCol w:w="4073"/>
      </w:tblGrid>
      <w:tr w:rsidR="0007011C" w14:paraId="298ED6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86E5A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Milestone</w:t>
            </w:r>
          </w:p>
        </w:tc>
        <w:tc>
          <w:tcPr>
            <w:tcW w:w="4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E5599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Measure</w:t>
            </w:r>
          </w:p>
        </w:tc>
        <w:tc>
          <w:tcPr>
            <w:tcW w:w="4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6C5CB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Target</w:t>
            </w:r>
          </w:p>
        </w:tc>
      </w:tr>
      <w:tr w:rsidR="0007011C" w14:paraId="19847BA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8AAE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30 days</w:t>
            </w:r>
          </w:p>
        </w:tc>
        <w:tc>
          <w:tcPr>
            <w:tcW w:w="4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81F1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Time from anomaly detection to first AI briefing</w:t>
            </w:r>
          </w:p>
        </w:tc>
        <w:tc>
          <w:tcPr>
            <w:tcW w:w="4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D5BB9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&lt; 2 minutes</w:t>
            </w:r>
          </w:p>
        </w:tc>
      </w:tr>
      <w:tr w:rsidR="0007011C" w14:paraId="78A0B19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9BA40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30 days</w:t>
            </w:r>
          </w:p>
        </w:tc>
        <w:tc>
          <w:tcPr>
            <w:tcW w:w="4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DC4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Briefing format adopted in Weekly Business Review agenda</w:t>
            </w:r>
          </w:p>
        </w:tc>
        <w:tc>
          <w:tcPr>
            <w:tcW w:w="4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15E04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Integrated by WBR cycle 2</w:t>
            </w:r>
          </w:p>
        </w:tc>
      </w:tr>
      <w:tr w:rsidR="0007011C" w14:paraId="6521EF9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8FA17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60 days</w:t>
            </w:r>
          </w:p>
        </w:tc>
        <w:tc>
          <w:tcPr>
            <w:tcW w:w="4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F2C49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Reduction in PM time spent preparing variance reports</w:t>
            </w:r>
          </w:p>
        </w:tc>
        <w:tc>
          <w:tcPr>
            <w:tcW w:w="4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29D8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&gt; 50% reduction</w:t>
            </w:r>
          </w:p>
        </w:tc>
      </w:tr>
      <w:tr w:rsidR="0007011C" w14:paraId="482CB85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0C8B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90 days</w:t>
            </w:r>
          </w:p>
        </w:tc>
        <w:tc>
          <w:tcPr>
            <w:tcW w:w="43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03CE3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AI-generated corrective actions validated against manual review output</w:t>
            </w:r>
          </w:p>
        </w:tc>
        <w:tc>
          <w:tcPr>
            <w:tcW w:w="4073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CC3B5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Parity confirmed by Operations Director</w:t>
            </w:r>
          </w:p>
        </w:tc>
      </w:tr>
    </w:tbl>
    <w:p w14:paraId="76A7D2CA" w14:textId="77777777" w:rsidR="0007011C" w:rsidRDefault="0007011C">
      <w:pPr>
        <w:spacing w:after="80"/>
      </w:pPr>
    </w:p>
    <w:p w14:paraId="1F4E87A5" w14:textId="77777777" w:rsidR="0007011C" w:rsidRDefault="00000000">
      <w:pPr>
        <w:pBdr>
          <w:bottom w:val="single" w:sz="4" w:space="4" w:color="2C5F8A"/>
        </w:pBdr>
        <w:spacing w:before="180" w:after="80"/>
      </w:pPr>
      <w:r>
        <w:rPr>
          <w:rFonts w:ascii="Arial" w:eastAsia="Arial" w:hAnsi="Arial" w:cs="Arial"/>
          <w:b/>
          <w:bCs/>
          <w:color w:val="2C5F8A"/>
          <w:sz w:val="22"/>
          <w:szCs w:val="22"/>
        </w:rPr>
        <w:t>8   Launch Readiness &amp; Access</w:t>
      </w:r>
    </w:p>
    <w:p w14:paraId="22B68CF3" w14:textId="3EB54EB3" w:rsidR="0007011C" w:rsidRDefault="00000000">
      <w:pPr>
        <w:spacing w:before="60" w:after="80"/>
        <w:rPr>
          <w:rFonts w:ascii="Arial" w:eastAsia="Arial" w:hAnsi="Arial" w:cs="Arial"/>
          <w:color w:val="1E293B"/>
        </w:rPr>
      </w:pPr>
      <w:r>
        <w:rPr>
          <w:rFonts w:ascii="Arial" w:eastAsia="Arial" w:hAnsi="Arial" w:cs="Arial"/>
          <w:color w:val="1E293B"/>
        </w:rPr>
        <w:t>All build, testing, and documentation tasks are complete. One step remains: deployment to Streamlit Community Cloud (push to GitHub, connect at share.streamlit.io, add API key in Secrets Manager, deploy). Estimated completion time is 30 minutes. The live dashboard URL and a 3–5 minute walkthrough recording will be circulated to this group immediately post-deployment.</w:t>
      </w:r>
    </w:p>
    <w:p w14:paraId="52126BAE" w14:textId="77777777" w:rsidR="006D2716" w:rsidRDefault="006D2716">
      <w:pPr>
        <w:spacing w:before="60" w:after="80"/>
        <w:rPr>
          <w:rFonts w:ascii="Arial" w:eastAsia="Arial" w:hAnsi="Arial" w:cs="Arial"/>
          <w:color w:val="1E293B"/>
        </w:rPr>
      </w:pPr>
    </w:p>
    <w:p w14:paraId="1C323347" w14:textId="77777777" w:rsidR="006D2716" w:rsidRDefault="006D2716">
      <w:pPr>
        <w:spacing w:before="60" w:after="80"/>
      </w:pPr>
    </w:p>
    <w:p w14:paraId="504A0F1B" w14:textId="77777777" w:rsidR="0007011C" w:rsidRDefault="00000000">
      <w:pPr>
        <w:pBdr>
          <w:bottom w:val="single" w:sz="4" w:space="4" w:color="2C5F8A"/>
        </w:pBdr>
        <w:spacing w:before="180" w:after="80"/>
      </w:pPr>
      <w:r>
        <w:rPr>
          <w:rFonts w:ascii="Arial" w:eastAsia="Arial" w:hAnsi="Arial" w:cs="Arial"/>
          <w:b/>
          <w:bCs/>
          <w:color w:val="2C5F8A"/>
          <w:sz w:val="22"/>
          <w:szCs w:val="22"/>
        </w:rPr>
        <w:lastRenderedPageBreak/>
        <w:t>9   Ownership &amp; Accountability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5346"/>
      </w:tblGrid>
      <w:tr w:rsidR="0007011C" w14:paraId="44C62E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26DED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Responsibility</w:t>
            </w:r>
          </w:p>
        </w:tc>
        <w:tc>
          <w:tcPr>
            <w:tcW w:w="53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0053F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Owner</w:t>
            </w:r>
          </w:p>
        </w:tc>
      </w:tr>
      <w:tr w:rsidR="0007011C" w14:paraId="3158281E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5A06F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  <w:highlight w:val="yellow"/>
              </w:rPr>
              <w:t>System build and maintenance</w:t>
            </w:r>
          </w:p>
        </w:tc>
        <w:tc>
          <w:tcPr>
            <w:tcW w:w="53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86504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Smita Harding, AI Transformation Lead</w:t>
            </w:r>
          </w:p>
        </w:tc>
      </w:tr>
      <w:tr w:rsidR="0007011C" w14:paraId="7DB67FD6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7D354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Anthropic API key management and rotation</w:t>
            </w:r>
          </w:p>
        </w:tc>
        <w:tc>
          <w:tcPr>
            <w:tcW w:w="53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2FB7C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To be assigned at post-launch handover</w:t>
            </w:r>
          </w:p>
        </w:tc>
      </w:tr>
      <w:tr w:rsidR="0007011C" w14:paraId="11A9E799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332FF" w14:textId="20CC2AFF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SLA threshold configuration — reviewed annually</w:t>
            </w:r>
          </w:p>
        </w:tc>
        <w:tc>
          <w:tcPr>
            <w:tcW w:w="53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83D0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Director of Operations</w:t>
            </w:r>
          </w:p>
        </w:tc>
      </w:tr>
      <w:tr w:rsidR="0007011C" w14:paraId="78FFBCD8" w14:textId="77777777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698F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v2.0 live data connectivity roadmap</w:t>
            </w:r>
          </w:p>
        </w:tc>
        <w:tc>
          <w:tcPr>
            <w:tcW w:w="5346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56E0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Director of Technology — scoped in Implementation Plan v1.0</w:t>
            </w:r>
          </w:p>
        </w:tc>
      </w:tr>
    </w:tbl>
    <w:p w14:paraId="05FC92C6" w14:textId="77777777" w:rsidR="0007011C" w:rsidRDefault="0007011C">
      <w:pPr>
        <w:spacing w:after="160"/>
      </w:pPr>
    </w:p>
    <w:p w14:paraId="45976369" w14:textId="77777777" w:rsidR="0007011C" w:rsidRDefault="0007011C">
      <w:pPr>
        <w:pBdr>
          <w:bottom w:val="single" w:sz="6" w:space="2" w:color="1E3A5F"/>
        </w:pBdr>
      </w:pPr>
    </w:p>
    <w:p w14:paraId="5BCD96CC" w14:textId="77777777" w:rsidR="0007011C" w:rsidRDefault="0007011C">
      <w:pPr>
        <w:spacing w:after="80"/>
      </w:pPr>
    </w:p>
    <w:p w14:paraId="791F0046" w14:textId="77777777" w:rsidR="0007011C" w:rsidRDefault="00000000">
      <w:pPr>
        <w:spacing w:before="40" w:after="40"/>
      </w:pPr>
      <w:r>
        <w:rPr>
          <w:rFonts w:ascii="Arial" w:eastAsia="Arial" w:hAnsi="Arial" w:cs="Arial"/>
          <w:b/>
          <w:bCs/>
          <w:color w:val="1E3A5F"/>
        </w:rPr>
        <w:t>LAUNCH SIGN-OFF</w:t>
      </w:r>
    </w:p>
    <w:p w14:paraId="355A7A69" w14:textId="77777777" w:rsidR="0007011C" w:rsidRDefault="00000000">
      <w:pPr>
        <w:spacing w:after="80"/>
      </w:pPr>
      <w:r>
        <w:rPr>
          <w:rFonts w:ascii="Arial" w:eastAsia="Arial" w:hAnsi="Arial" w:cs="Arial"/>
          <w:color w:val="1E293B"/>
          <w:sz w:val="19"/>
          <w:szCs w:val="19"/>
        </w:rPr>
        <w:t>I confirm I have reviewed Project Aegis v1.0 and approve deployment to Streamlit Community Cloud.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2349"/>
        <w:gridCol w:w="2349"/>
        <w:gridCol w:w="2348"/>
      </w:tblGrid>
      <w:tr w:rsidR="0007011C" w14:paraId="6FE0D2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6E715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2349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C01C5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2349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CC732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Signature</w:t>
            </w:r>
          </w:p>
        </w:tc>
        <w:tc>
          <w:tcPr>
            <w:tcW w:w="2348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2C5F8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A0D5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Date</w:t>
            </w:r>
          </w:p>
        </w:tc>
      </w:tr>
      <w:tr w:rsidR="0007011C" w14:paraId="0AB0FED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346D5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VP Operations</w:t>
            </w:r>
          </w:p>
        </w:tc>
        <w:tc>
          <w:tcPr>
            <w:tcW w:w="2349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11CBD" w14:textId="77777777" w:rsidR="0007011C" w:rsidRDefault="0007011C">
            <w:pPr>
              <w:spacing w:before="40" w:after="40"/>
            </w:pPr>
          </w:p>
        </w:tc>
        <w:tc>
          <w:tcPr>
            <w:tcW w:w="2349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863D1" w14:textId="77777777" w:rsidR="0007011C" w:rsidRDefault="0007011C">
            <w:pPr>
              <w:spacing w:before="40" w:after="40"/>
            </w:pPr>
          </w:p>
        </w:tc>
        <w:tc>
          <w:tcPr>
            <w:tcW w:w="2348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A04A5" w14:textId="77777777" w:rsidR="0007011C" w:rsidRDefault="0007011C">
            <w:pPr>
              <w:spacing w:before="40" w:after="40"/>
            </w:pPr>
          </w:p>
        </w:tc>
      </w:tr>
      <w:tr w:rsidR="0007011C" w14:paraId="2F5DEF4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E44B8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Director of Operations</w:t>
            </w:r>
          </w:p>
        </w:tc>
        <w:tc>
          <w:tcPr>
            <w:tcW w:w="2349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F17EA" w14:textId="77777777" w:rsidR="0007011C" w:rsidRDefault="0007011C">
            <w:pPr>
              <w:spacing w:before="40" w:after="40"/>
            </w:pPr>
          </w:p>
        </w:tc>
        <w:tc>
          <w:tcPr>
            <w:tcW w:w="2349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55A61" w14:textId="77777777" w:rsidR="0007011C" w:rsidRDefault="0007011C">
            <w:pPr>
              <w:spacing w:before="40" w:after="40"/>
            </w:pPr>
          </w:p>
        </w:tc>
        <w:tc>
          <w:tcPr>
            <w:tcW w:w="2348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90412" w14:textId="77777777" w:rsidR="0007011C" w:rsidRDefault="0007011C">
            <w:pPr>
              <w:spacing w:before="40" w:after="40"/>
            </w:pPr>
          </w:p>
        </w:tc>
      </w:tr>
      <w:tr w:rsidR="0007011C" w14:paraId="2783F42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1F866" w14:textId="77777777" w:rsidR="0007011C" w:rsidRDefault="00000000">
            <w:pPr>
              <w:spacing w:before="40" w:after="40"/>
            </w:pPr>
            <w:r>
              <w:rPr>
                <w:rFonts w:ascii="Arial" w:eastAsia="Arial" w:hAnsi="Arial" w:cs="Arial"/>
                <w:color w:val="1E293B"/>
                <w:sz w:val="19"/>
                <w:szCs w:val="19"/>
              </w:rPr>
              <w:t>Director of Technology</w:t>
            </w:r>
          </w:p>
        </w:tc>
        <w:tc>
          <w:tcPr>
            <w:tcW w:w="2349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326F6" w14:textId="77777777" w:rsidR="0007011C" w:rsidRDefault="0007011C">
            <w:pPr>
              <w:spacing w:before="40" w:after="40"/>
            </w:pPr>
          </w:p>
        </w:tc>
        <w:tc>
          <w:tcPr>
            <w:tcW w:w="2349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A9744" w14:textId="77777777" w:rsidR="0007011C" w:rsidRDefault="0007011C">
            <w:pPr>
              <w:spacing w:before="40" w:after="40"/>
            </w:pPr>
          </w:p>
        </w:tc>
        <w:tc>
          <w:tcPr>
            <w:tcW w:w="2348" w:type="dxa"/>
            <w:tcBorders>
              <w:top w:val="single" w:sz="1" w:space="0" w:color="CBD5E1"/>
              <w:left w:val="single" w:sz="1" w:space="0" w:color="CBD5E1"/>
              <w:bottom w:val="single" w:sz="1" w:space="0" w:color="CBD5E1"/>
              <w:right w:val="single" w:sz="1" w:space="0" w:color="CBD5E1"/>
            </w:tcBorders>
            <w:shd w:val="clear" w:color="auto" w:fill="EAF2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9D4C3" w14:textId="77777777" w:rsidR="0007011C" w:rsidRDefault="0007011C">
            <w:pPr>
              <w:spacing w:before="40" w:after="40"/>
            </w:pPr>
          </w:p>
        </w:tc>
      </w:tr>
    </w:tbl>
    <w:p w14:paraId="0C39BE81" w14:textId="77777777" w:rsidR="008A69B1" w:rsidRDefault="008A69B1"/>
    <w:sectPr w:rsidR="008A69B1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A4E1E" w14:textId="77777777" w:rsidR="008A69B1" w:rsidRDefault="008A69B1">
      <w:r>
        <w:separator/>
      </w:r>
    </w:p>
  </w:endnote>
  <w:endnote w:type="continuationSeparator" w:id="0">
    <w:p w14:paraId="54A4D59E" w14:textId="77777777" w:rsidR="008A69B1" w:rsidRDefault="008A69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12BC" w14:textId="77777777" w:rsidR="0007011C" w:rsidRDefault="00000000">
    <w:pPr>
      <w:pBdr>
        <w:top w:val="single" w:sz="4" w:space="4" w:color="CBD5E1"/>
      </w:pBdr>
      <w:spacing w:before="80"/>
    </w:pPr>
    <w:r>
      <w:rPr>
        <w:rFonts w:ascii="Arial" w:eastAsia="Arial" w:hAnsi="Arial" w:cs="Arial"/>
        <w:color w:val="64748B"/>
        <w:sz w:val="16"/>
        <w:szCs w:val="16"/>
      </w:rPr>
      <w:t xml:space="preserve">Smita Harding  •  AI Transformation Lead  •  Page </w:t>
    </w:r>
    <w:r>
      <w:rPr>
        <w:rFonts w:ascii="Arial" w:eastAsia="Arial" w:hAnsi="Arial" w:cs="Arial"/>
        <w:color w:val="64748B"/>
        <w:sz w:val="16"/>
        <w:szCs w:val="16"/>
      </w:rPr>
      <w:fldChar w:fldCharType="begin"/>
    </w:r>
    <w:r>
      <w:rPr>
        <w:rFonts w:ascii="Arial" w:eastAsia="Arial" w:hAnsi="Arial" w:cs="Arial"/>
        <w:color w:val="64748B"/>
        <w:sz w:val="16"/>
        <w:szCs w:val="16"/>
      </w:rPr>
      <w:instrText>PAGE</w:instrText>
    </w:r>
    <w:r>
      <w:rPr>
        <w:rFonts w:ascii="Arial" w:eastAsia="Arial" w:hAnsi="Arial" w:cs="Arial"/>
        <w:color w:val="64748B"/>
        <w:sz w:val="16"/>
        <w:szCs w:val="16"/>
      </w:rPr>
      <w:fldChar w:fldCharType="separate"/>
    </w:r>
    <w:r w:rsidR="00435F1E">
      <w:rPr>
        <w:rFonts w:ascii="Arial" w:eastAsia="Arial" w:hAnsi="Arial" w:cs="Arial"/>
        <w:noProof/>
        <w:color w:val="64748B"/>
        <w:sz w:val="16"/>
        <w:szCs w:val="16"/>
      </w:rPr>
      <w:t>1</w:t>
    </w:r>
    <w:r>
      <w:rPr>
        <w:rFonts w:ascii="Arial" w:eastAsia="Arial" w:hAnsi="Arial" w:cs="Arial"/>
        <w:color w:val="64748B"/>
        <w:sz w:val="16"/>
        <w:szCs w:val="16"/>
      </w:rPr>
      <w:fldChar w:fldCharType="end"/>
    </w:r>
    <w:r>
      <w:rPr>
        <w:rFonts w:ascii="Arial" w:eastAsia="Arial" w:hAnsi="Arial" w:cs="Arial"/>
        <w:color w:val="64748B"/>
        <w:sz w:val="16"/>
        <w:szCs w:val="16"/>
      </w:rPr>
      <w:t xml:space="preserve"> of </w:t>
    </w:r>
    <w:r>
      <w:rPr>
        <w:rFonts w:ascii="Arial" w:eastAsia="Arial" w:hAnsi="Arial" w:cs="Arial"/>
        <w:color w:val="64748B"/>
        <w:sz w:val="16"/>
        <w:szCs w:val="16"/>
      </w:rPr>
      <w:fldChar w:fldCharType="begin"/>
    </w:r>
    <w:r>
      <w:rPr>
        <w:rFonts w:ascii="Arial" w:eastAsia="Arial" w:hAnsi="Arial" w:cs="Arial"/>
        <w:color w:val="64748B"/>
        <w:sz w:val="16"/>
        <w:szCs w:val="16"/>
      </w:rPr>
      <w:instrText>NUMPAGES</w:instrText>
    </w:r>
    <w:r>
      <w:rPr>
        <w:rFonts w:ascii="Arial" w:eastAsia="Arial" w:hAnsi="Arial" w:cs="Arial"/>
        <w:color w:val="64748B"/>
        <w:sz w:val="16"/>
        <w:szCs w:val="16"/>
      </w:rPr>
      <w:fldChar w:fldCharType="separate"/>
    </w:r>
    <w:r w:rsidR="00435F1E">
      <w:rPr>
        <w:rFonts w:ascii="Arial" w:eastAsia="Arial" w:hAnsi="Arial" w:cs="Arial"/>
        <w:noProof/>
        <w:color w:val="64748B"/>
        <w:sz w:val="16"/>
        <w:szCs w:val="16"/>
      </w:rPr>
      <w:t>2</w:t>
    </w:r>
    <w:r>
      <w:rPr>
        <w:rFonts w:ascii="Arial" w:eastAsia="Arial" w:hAnsi="Arial" w:cs="Arial"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D6B17D" w14:textId="77777777" w:rsidR="008A69B1" w:rsidRDefault="008A69B1">
      <w:r>
        <w:separator/>
      </w:r>
    </w:p>
  </w:footnote>
  <w:footnote w:type="continuationSeparator" w:id="0">
    <w:p w14:paraId="62E28C70" w14:textId="77777777" w:rsidR="008A69B1" w:rsidRDefault="008A69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3753E" w14:textId="77777777" w:rsidR="0007011C" w:rsidRDefault="00000000">
    <w:pPr>
      <w:pBdr>
        <w:bottom w:val="single" w:sz="4" w:space="4" w:color="CBD5E1"/>
      </w:pBdr>
      <w:tabs>
        <w:tab w:val="right" w:pos="9746"/>
      </w:tabs>
      <w:spacing w:after="80"/>
    </w:pPr>
    <w:r>
      <w:rPr>
        <w:rFonts w:ascii="Arial" w:eastAsia="Arial" w:hAnsi="Arial" w:cs="Arial"/>
        <w:color w:val="64748B"/>
        <w:sz w:val="16"/>
        <w:szCs w:val="16"/>
      </w:rPr>
      <w:t>Project Aegis  •  Executive Launch Brief  •  Confidential</w:t>
    </w:r>
    <w:r>
      <w:rPr>
        <w:rFonts w:ascii="Arial" w:eastAsia="Arial" w:hAnsi="Arial" w:cs="Arial"/>
        <w:color w:val="64748B"/>
        <w:sz w:val="16"/>
        <w:szCs w:val="16"/>
      </w:rPr>
      <w:tab/>
      <w:t>May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B4A5E"/>
    <w:multiLevelType w:val="hybridMultilevel"/>
    <w:tmpl w:val="9424C49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A76829"/>
    <w:multiLevelType w:val="hybridMultilevel"/>
    <w:tmpl w:val="D726457A"/>
    <w:lvl w:ilvl="0" w:tplc="A858B89C">
      <w:start w:val="1"/>
      <w:numFmt w:val="bullet"/>
      <w:lvlText w:val="●"/>
      <w:lvlJc w:val="left"/>
      <w:pPr>
        <w:ind w:left="720" w:hanging="360"/>
      </w:pPr>
    </w:lvl>
    <w:lvl w:ilvl="1" w:tplc="BC5453D4">
      <w:start w:val="1"/>
      <w:numFmt w:val="bullet"/>
      <w:lvlText w:val="○"/>
      <w:lvlJc w:val="left"/>
      <w:pPr>
        <w:ind w:left="1440" w:hanging="360"/>
      </w:pPr>
    </w:lvl>
    <w:lvl w:ilvl="2" w:tplc="749CF92E">
      <w:start w:val="1"/>
      <w:numFmt w:val="bullet"/>
      <w:lvlText w:val="■"/>
      <w:lvlJc w:val="left"/>
      <w:pPr>
        <w:ind w:left="2160" w:hanging="360"/>
      </w:pPr>
    </w:lvl>
    <w:lvl w:ilvl="3" w:tplc="23720F44">
      <w:start w:val="1"/>
      <w:numFmt w:val="bullet"/>
      <w:lvlText w:val="●"/>
      <w:lvlJc w:val="left"/>
      <w:pPr>
        <w:ind w:left="2880" w:hanging="360"/>
      </w:pPr>
    </w:lvl>
    <w:lvl w:ilvl="4" w:tplc="FBC44C6E">
      <w:start w:val="1"/>
      <w:numFmt w:val="bullet"/>
      <w:lvlText w:val="○"/>
      <w:lvlJc w:val="left"/>
      <w:pPr>
        <w:ind w:left="3600" w:hanging="360"/>
      </w:pPr>
    </w:lvl>
    <w:lvl w:ilvl="5" w:tplc="9C9CBDCC">
      <w:start w:val="1"/>
      <w:numFmt w:val="bullet"/>
      <w:lvlText w:val="■"/>
      <w:lvlJc w:val="left"/>
      <w:pPr>
        <w:ind w:left="4320" w:hanging="360"/>
      </w:pPr>
    </w:lvl>
    <w:lvl w:ilvl="6" w:tplc="F2BC9EEE">
      <w:start w:val="1"/>
      <w:numFmt w:val="bullet"/>
      <w:lvlText w:val="●"/>
      <w:lvlJc w:val="left"/>
      <w:pPr>
        <w:ind w:left="5040" w:hanging="360"/>
      </w:pPr>
    </w:lvl>
    <w:lvl w:ilvl="7" w:tplc="A4E8FDB0">
      <w:start w:val="1"/>
      <w:numFmt w:val="bullet"/>
      <w:lvlText w:val="●"/>
      <w:lvlJc w:val="left"/>
      <w:pPr>
        <w:ind w:left="5760" w:hanging="360"/>
      </w:pPr>
    </w:lvl>
    <w:lvl w:ilvl="8" w:tplc="F14CB968">
      <w:start w:val="1"/>
      <w:numFmt w:val="bullet"/>
      <w:lvlText w:val="●"/>
      <w:lvlJc w:val="left"/>
      <w:pPr>
        <w:ind w:left="6480" w:hanging="360"/>
      </w:pPr>
    </w:lvl>
  </w:abstractNum>
  <w:num w:numId="1" w16cid:durableId="1910770530">
    <w:abstractNumId w:val="1"/>
    <w:lvlOverride w:ilvl="0">
      <w:startOverride w:val="1"/>
    </w:lvlOverride>
  </w:num>
  <w:num w:numId="2" w16cid:durableId="1541701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11C"/>
    <w:rsid w:val="0007011C"/>
    <w:rsid w:val="0031473E"/>
    <w:rsid w:val="003B0516"/>
    <w:rsid w:val="0042286F"/>
    <w:rsid w:val="00435F1E"/>
    <w:rsid w:val="005E6EBF"/>
    <w:rsid w:val="0066567C"/>
    <w:rsid w:val="006D2716"/>
    <w:rsid w:val="00846154"/>
    <w:rsid w:val="008A1558"/>
    <w:rsid w:val="008A69B1"/>
    <w:rsid w:val="00932D35"/>
    <w:rsid w:val="00A24CBA"/>
    <w:rsid w:val="00A40372"/>
    <w:rsid w:val="00BB36FF"/>
    <w:rsid w:val="00E50B57"/>
    <w:rsid w:val="00FB7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F4739A"/>
  <w15:docId w15:val="{8790EC35-4F99-D14B-AD45-D1190BFB2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L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1146</Words>
  <Characters>6535</Characters>
  <Application>Microsoft Office Word</Application>
  <DocSecurity>0</DocSecurity>
  <Lines>54</Lines>
  <Paragraphs>15</Paragraphs>
  <ScaleCrop>false</ScaleCrop>
  <Company/>
  <LinksUpToDate>false</LinksUpToDate>
  <CharactersWithSpaces>7666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Praveen Sridhar</cp:lastModifiedBy>
  <cp:revision>15</cp:revision>
  <dcterms:created xsi:type="dcterms:W3CDTF">2026-05-23T16:21:00Z</dcterms:created>
  <dcterms:modified xsi:type="dcterms:W3CDTF">2026-06-01T12:25:00Z</dcterms:modified>
</cp:coreProperties>
</file>