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D04D" w14:textId="77777777" w:rsidR="00617EA7" w:rsidRDefault="00617EA7"/>
    <w:p w14:paraId="766EE952" w14:textId="77777777" w:rsidR="00617EA7" w:rsidRDefault="00000000">
      <w:pPr>
        <w:jc w:val="center"/>
      </w:pPr>
      <w:r>
        <w:rPr>
          <w:rFonts w:ascii="Calibri" w:hAnsi="Calibri"/>
          <w:b/>
          <w:color w:val="003366"/>
          <w:sz w:val="56"/>
        </w:rPr>
        <w:t>Zentai Networks</w:t>
      </w:r>
    </w:p>
    <w:p w14:paraId="17F9D658" w14:textId="77777777" w:rsidR="00617EA7" w:rsidRDefault="00000000">
      <w:pPr>
        <w:jc w:val="center"/>
      </w:pPr>
      <w:r>
        <w:rPr>
          <w:rFonts w:ascii="Calibri" w:hAnsi="Calibri"/>
          <w:i/>
          <w:color w:val="444444"/>
          <w:sz w:val="32"/>
        </w:rPr>
        <w:t>Enterprise Business Intelligence &amp; Decision Support System</w:t>
      </w:r>
    </w:p>
    <w:p w14:paraId="66A0A27E" w14:textId="77777777" w:rsidR="00617EA7" w:rsidRDefault="00617EA7"/>
    <w:p w14:paraId="3B86A247" w14:textId="3E8979AF" w:rsidR="00617EA7" w:rsidRDefault="00000000">
      <w:pPr>
        <w:jc w:val="center"/>
      </w:pPr>
      <w:r>
        <w:rPr>
          <w:rFonts w:ascii="Calibri" w:hAnsi="Calibri"/>
          <w:color w:val="666666"/>
        </w:rPr>
        <w:t>Capstone Project Report | May 08, 2026</w:t>
      </w:r>
      <w:r w:rsidR="00E05CE6">
        <w:rPr>
          <w:rFonts w:ascii="Calibri" w:hAnsi="Calibri"/>
          <w:color w:val="666666"/>
        </w:rPr>
        <w:t>| Smit Bhabal</w:t>
      </w:r>
    </w:p>
    <w:p w14:paraId="370C43DA" w14:textId="77777777" w:rsidR="00617EA7" w:rsidRDefault="00617EA7"/>
    <w:p w14:paraId="6C93D5AA" w14:textId="77777777" w:rsidR="00617EA7" w:rsidRDefault="00617EA7">
      <w:pPr>
        <w:pBdr>
          <w:bottom w:val="single" w:sz="6" w:space="1" w:color="003366"/>
        </w:pBdr>
        <w:spacing w:before="40" w:after="120"/>
      </w:pPr>
    </w:p>
    <w:p w14:paraId="7E78C1EE" w14:textId="77777777" w:rsidR="00617EA7" w:rsidRDefault="00617EA7"/>
    <w:p w14:paraId="79B4CC4E" w14:textId="77777777" w:rsidR="00617EA7" w:rsidRDefault="00000000">
      <w:pPr>
        <w:pStyle w:val="Heading1"/>
      </w:pPr>
      <w:r>
        <w:rPr>
          <w:rFonts w:ascii="Calibri" w:hAnsi="Calibri"/>
          <w:color w:val="003366"/>
        </w:rPr>
        <w:t>1. Executive Summary</w:t>
      </w:r>
    </w:p>
    <w:p w14:paraId="280ECE7D" w14:textId="5812FD36" w:rsidR="00617EA7" w:rsidRDefault="00000000">
      <w:pPr>
        <w:spacing w:before="40" w:after="120"/>
      </w:pPr>
      <w:r>
        <w:rPr>
          <w:rFonts w:ascii="Calibri" w:hAnsi="Calibri"/>
        </w:rPr>
        <w:t>Zentai Networks is a next-generation, production-grade Business Intelligence and Decision Support System engineered to serve the strategic information needs of founders, Chief Financial Officers, and senior leadership. The platform consolidates multi-dimensional financial data</w:t>
      </w:r>
      <w:r w:rsidR="00E05CE6">
        <w:rPr>
          <w:rFonts w:ascii="Calibri" w:hAnsi="Calibri"/>
        </w:rPr>
        <w:t>,</w:t>
      </w:r>
      <w:r>
        <w:rPr>
          <w:rFonts w:ascii="Calibri" w:hAnsi="Calibri"/>
        </w:rPr>
        <w:t xml:space="preserve"> live market prices, revenue fundamentals, geopolitical supply chain exposure, and real-time news sentiment into a single, unified analytical interface.</w:t>
      </w:r>
    </w:p>
    <w:p w14:paraId="5B145884" w14:textId="127715DD" w:rsidR="00617EA7" w:rsidRDefault="00000000">
      <w:pPr>
        <w:spacing w:before="40" w:after="120"/>
      </w:pPr>
      <w:r>
        <w:rPr>
          <w:rFonts w:ascii="Calibri" w:hAnsi="Calibri"/>
        </w:rPr>
        <w:t xml:space="preserve">The </w:t>
      </w:r>
      <w:r w:rsidR="00E05CE6">
        <w:rPr>
          <w:rFonts w:ascii="Calibri" w:hAnsi="Calibri"/>
        </w:rPr>
        <w:t xml:space="preserve">system's </w:t>
      </w:r>
      <w:r>
        <w:rPr>
          <w:rFonts w:ascii="Calibri" w:hAnsi="Calibri"/>
        </w:rPr>
        <w:t>primary deliverable is the Unified Business Health Score</w:t>
      </w:r>
      <w:r w:rsidR="00E05CE6">
        <w:rPr>
          <w:rFonts w:ascii="Calibri" w:hAnsi="Calibri"/>
        </w:rPr>
        <w:t>.</w:t>
      </w:r>
      <w:r>
        <w:rPr>
          <w:rFonts w:ascii="Calibri" w:hAnsi="Calibri"/>
        </w:rPr>
        <w:t xml:space="preserve"> </w:t>
      </w:r>
      <w:r w:rsidR="00E05CE6">
        <w:rPr>
          <w:rFonts w:ascii="Calibri" w:hAnsi="Calibri"/>
        </w:rPr>
        <w:t>This</w:t>
      </w:r>
      <w:r>
        <w:rPr>
          <w:rFonts w:ascii="Calibri" w:hAnsi="Calibri"/>
        </w:rPr>
        <w:t xml:space="preserve"> mathematically derived scalar metric compresses the output of three independent AI analytical models into a single, instantly readable executive directive. This addresses the core challenge of modern executive decision-making: information overload and analytical fragmentation across disparate data sources.</w:t>
      </w:r>
    </w:p>
    <w:p w14:paraId="3694A841" w14:textId="36EE3358" w:rsidR="00617EA7" w:rsidRDefault="00000000">
      <w:pPr>
        <w:spacing w:before="40" w:after="120"/>
      </w:pPr>
      <w:r>
        <w:rPr>
          <w:rFonts w:ascii="Calibri" w:hAnsi="Calibri"/>
        </w:rPr>
        <w:t>The system is built entirely in Python, using Streamlit for the reactive frontend, Pandas and NumPy for high-performance data processing, SciPy for statistical computation, and Plotly for WebGL-accelerated interactive visuali</w:t>
      </w:r>
      <w:r w:rsidR="00E05CE6">
        <w:rPr>
          <w:rFonts w:ascii="Calibri" w:hAnsi="Calibri"/>
        </w:rPr>
        <w:t>z</w:t>
      </w:r>
      <w:r>
        <w:rPr>
          <w:rFonts w:ascii="Calibri" w:hAnsi="Calibri"/>
        </w:rPr>
        <w:t>ations. All market data is sourced in real time from Yahoo Finance's REST APIs via the yfinance library, ensuring zero data staleness.</w:t>
      </w:r>
    </w:p>
    <w:p w14:paraId="00079976" w14:textId="77777777" w:rsidR="00617EA7" w:rsidRDefault="00617EA7">
      <w:pPr>
        <w:pBdr>
          <w:bottom w:val="single" w:sz="6" w:space="1" w:color="003366"/>
        </w:pBdr>
        <w:spacing w:before="40" w:after="120"/>
      </w:pPr>
    </w:p>
    <w:p w14:paraId="3E970129" w14:textId="77777777" w:rsidR="00617EA7" w:rsidRDefault="00000000">
      <w:pPr>
        <w:pStyle w:val="Heading1"/>
      </w:pPr>
      <w:r>
        <w:rPr>
          <w:rFonts w:ascii="Calibri" w:hAnsi="Calibri"/>
          <w:color w:val="003366"/>
        </w:rPr>
        <w:t>2. Problem Statement &amp; Business Motivation</w:t>
      </w:r>
    </w:p>
    <w:p w14:paraId="42144BB3" w14:textId="57348E72" w:rsidR="00617EA7" w:rsidRDefault="00000000">
      <w:pPr>
        <w:spacing w:before="40" w:after="120"/>
      </w:pPr>
      <w:r>
        <w:rPr>
          <w:rFonts w:ascii="Calibri" w:hAnsi="Calibri"/>
        </w:rPr>
        <w:t>The modern CFO or senior executive faces a fundamental information management problem. Strategic decisions that may deploy millions of dollars of capital are routinely made by manually synthesi</w:t>
      </w:r>
      <w:r w:rsidR="00E05CE6">
        <w:rPr>
          <w:rFonts w:ascii="Calibri" w:hAnsi="Calibri"/>
        </w:rPr>
        <w:t>z</w:t>
      </w:r>
      <w:r>
        <w:rPr>
          <w:rFonts w:ascii="Calibri" w:hAnsi="Calibri"/>
        </w:rPr>
        <w:t>ing data from Bloomberg terminals, quarterly earnings reports, supply chain dashboards, and news aggregators. This workflow introduces three critical failure modes:</w:t>
      </w:r>
    </w:p>
    <w:p w14:paraId="1FA8F649" w14:textId="2C04D9C2" w:rsidR="00617EA7" w:rsidRDefault="00000000">
      <w:pPr>
        <w:pStyle w:val="ListBullet"/>
        <w:spacing w:after="60"/>
      </w:pPr>
      <w:r>
        <w:rPr>
          <w:rFonts w:ascii="Calibri" w:hAnsi="Calibri"/>
          <w:b/>
        </w:rPr>
        <w:t xml:space="preserve">Data Fragmentation: </w:t>
      </w:r>
      <w:r>
        <w:rPr>
          <w:rFonts w:ascii="Calibri" w:hAnsi="Calibri"/>
        </w:rPr>
        <w:t xml:space="preserve">Data is captured from multiple independent tools with </w:t>
      </w:r>
      <w:r w:rsidR="00E05CE6">
        <w:rPr>
          <w:rFonts w:ascii="Calibri" w:hAnsi="Calibri"/>
        </w:rPr>
        <w:t>varying</w:t>
      </w:r>
      <w:r>
        <w:rPr>
          <w:rFonts w:ascii="Calibri" w:hAnsi="Calibri"/>
        </w:rPr>
        <w:t xml:space="preserve"> update frequencies, </w:t>
      </w:r>
      <w:r w:rsidR="00E05CE6">
        <w:rPr>
          <w:rFonts w:ascii="Calibri" w:hAnsi="Calibri"/>
        </w:rPr>
        <w:t>leading to</w:t>
      </w:r>
      <w:r>
        <w:rPr>
          <w:rFonts w:ascii="Calibri" w:hAnsi="Calibri"/>
        </w:rPr>
        <w:t xml:space="preserve"> temporal inconsistencies in the analytical picture.</w:t>
      </w:r>
    </w:p>
    <w:p w14:paraId="2FFD0358" w14:textId="498B1A78" w:rsidR="00617EA7" w:rsidRDefault="00000000">
      <w:pPr>
        <w:pStyle w:val="ListBullet"/>
        <w:spacing w:after="60"/>
      </w:pPr>
      <w:r>
        <w:rPr>
          <w:rFonts w:ascii="Calibri" w:hAnsi="Calibri"/>
          <w:b/>
        </w:rPr>
        <w:lastRenderedPageBreak/>
        <w:t xml:space="preserve">Reactive Analysis Paradigm: </w:t>
      </w:r>
      <w:r>
        <w:rPr>
          <w:rFonts w:ascii="Calibri" w:hAnsi="Calibri"/>
        </w:rPr>
        <w:t>Legacy BI tools are fundamentally reactive</w:t>
      </w:r>
      <w:r w:rsidR="00E05CE6">
        <w:rPr>
          <w:rFonts w:ascii="Calibri" w:hAnsi="Calibri"/>
        </w:rPr>
        <w:t>;</w:t>
      </w:r>
      <w:r>
        <w:rPr>
          <w:rFonts w:ascii="Calibri" w:hAnsi="Calibri"/>
        </w:rPr>
        <w:t xml:space="preserve"> they display what has already happened. They cannot mathematically project future risk, evaluate intrinsic valuation, or identify forward-looking market patterns.</w:t>
      </w:r>
    </w:p>
    <w:p w14:paraId="187622FC" w14:textId="77777777" w:rsidR="00617EA7" w:rsidRDefault="00000000">
      <w:pPr>
        <w:pStyle w:val="ListBullet"/>
        <w:spacing w:after="60"/>
      </w:pPr>
      <w:r>
        <w:rPr>
          <w:rFonts w:ascii="Calibri" w:hAnsi="Calibri"/>
          <w:b/>
        </w:rPr>
        <w:t xml:space="preserve">Decision Paralysis: </w:t>
      </w:r>
      <w:r>
        <w:rPr>
          <w:rFonts w:ascii="Calibri" w:hAnsi="Calibri"/>
        </w:rPr>
        <w:t>Presenting raw, unformatted datasets to executive stakeholders without automated synthesis leads to analysis paralysis and significantly increases decision latency in time-sensitive market environments.</w:t>
      </w:r>
    </w:p>
    <w:p w14:paraId="0728D320" w14:textId="38460CD0" w:rsidR="00617EA7" w:rsidRDefault="00000000">
      <w:pPr>
        <w:spacing w:before="40" w:after="120"/>
      </w:pPr>
      <w:r>
        <w:rPr>
          <w:rFonts w:ascii="Calibri" w:hAnsi="Calibri"/>
        </w:rPr>
        <w:t>Zentai Networks directly addresses each of these failure modes by centrali</w:t>
      </w:r>
      <w:r w:rsidR="00E05CE6">
        <w:rPr>
          <w:rFonts w:ascii="Calibri" w:hAnsi="Calibri"/>
        </w:rPr>
        <w:t>z</w:t>
      </w:r>
      <w:r>
        <w:rPr>
          <w:rFonts w:ascii="Calibri" w:hAnsi="Calibri"/>
        </w:rPr>
        <w:t>ing all data pipelines into a single platform and automating the synthesis of complex signals into clear, actionable, human-readable directives.</w:t>
      </w:r>
    </w:p>
    <w:p w14:paraId="4438213B" w14:textId="77777777" w:rsidR="00617EA7" w:rsidRDefault="00617EA7">
      <w:pPr>
        <w:pBdr>
          <w:bottom w:val="single" w:sz="6" w:space="1" w:color="003366"/>
        </w:pBdr>
        <w:spacing w:before="40" w:after="120"/>
      </w:pPr>
    </w:p>
    <w:p w14:paraId="385FAD86" w14:textId="77777777" w:rsidR="00617EA7" w:rsidRDefault="00000000">
      <w:pPr>
        <w:pStyle w:val="Heading1"/>
      </w:pPr>
      <w:r>
        <w:rPr>
          <w:rFonts w:ascii="Calibri" w:hAnsi="Calibri"/>
          <w:color w:val="003366"/>
        </w:rPr>
        <w:t>3. System Architecture &amp; Technical Design</w:t>
      </w:r>
    </w:p>
    <w:p w14:paraId="4990C665" w14:textId="77777777" w:rsidR="00617EA7" w:rsidRDefault="00000000">
      <w:pPr>
        <w:pStyle w:val="Heading2"/>
      </w:pPr>
      <w:r>
        <w:rPr>
          <w:rFonts w:ascii="Calibri" w:hAnsi="Calibri"/>
          <w:color w:val="003366"/>
        </w:rPr>
        <w:t>3.1  Architectural Pattern</w:t>
      </w:r>
    </w:p>
    <w:p w14:paraId="5217ECED" w14:textId="5B4F0E20" w:rsidR="00617EA7" w:rsidRDefault="00000000">
      <w:pPr>
        <w:spacing w:before="40" w:after="120"/>
      </w:pPr>
      <w:r>
        <w:rPr>
          <w:rFonts w:ascii="Calibri" w:hAnsi="Calibri"/>
        </w:rPr>
        <w:t>The application is implemented as a Modular Monolith. This architectural pattern was deliberately chosen over a Microservices architecture for the following reason: the platform's quantitative engines perform heavy Pandas DataFrame operations on shared in-memory data structures. Decomposing these into independent services would require seriali</w:t>
      </w:r>
      <w:r w:rsidR="00E05CE6">
        <w:rPr>
          <w:rFonts w:ascii="Calibri" w:hAnsi="Calibri"/>
        </w:rPr>
        <w:t>z</w:t>
      </w:r>
      <w:r>
        <w:rPr>
          <w:rFonts w:ascii="Calibri" w:hAnsi="Calibri"/>
        </w:rPr>
        <w:t xml:space="preserve">ing large </w:t>
      </w:r>
      <w:proofErr w:type="spellStart"/>
      <w:r>
        <w:rPr>
          <w:rFonts w:ascii="Calibri" w:hAnsi="Calibri"/>
        </w:rPr>
        <w:t>DataFrames</w:t>
      </w:r>
      <w:proofErr w:type="spellEnd"/>
      <w:r>
        <w:rPr>
          <w:rFonts w:ascii="Calibri" w:hAnsi="Calibri"/>
        </w:rPr>
        <w:t xml:space="preserve"> into JSON payloads for inter-service communication, introducing prohibitive network latency that would severely degrade the real-time user experience.</w:t>
      </w:r>
    </w:p>
    <w:p w14:paraId="7AE930F0" w14:textId="77777777" w:rsidR="00617EA7" w:rsidRDefault="00000000">
      <w:pPr>
        <w:spacing w:before="40" w:after="120"/>
      </w:pPr>
      <w:r>
        <w:rPr>
          <w:rFonts w:ascii="Calibri" w:hAnsi="Calibri"/>
        </w:rPr>
        <w:t>The system is separated into three strictly decoupled layers:</w:t>
      </w:r>
    </w:p>
    <w:p w14:paraId="5F075628" w14:textId="54A4A8D5" w:rsidR="00617EA7" w:rsidRDefault="00000000">
      <w:pPr>
        <w:pStyle w:val="ListBullet"/>
        <w:spacing w:after="60"/>
      </w:pPr>
      <w:r>
        <w:rPr>
          <w:rFonts w:ascii="Calibri" w:hAnsi="Calibri"/>
          <w:b/>
        </w:rPr>
        <w:t xml:space="preserve">Layer 1: </w:t>
      </w:r>
      <w:r>
        <w:rPr>
          <w:rFonts w:ascii="Calibri" w:hAnsi="Calibri"/>
        </w:rPr>
        <w:t>Data Ingestion Layer REST API calls to Yahoo Finance via yfinance.</w:t>
      </w:r>
    </w:p>
    <w:p w14:paraId="378116D2" w14:textId="217661C7" w:rsidR="00617EA7" w:rsidRDefault="00000000">
      <w:pPr>
        <w:pStyle w:val="ListBullet"/>
        <w:spacing w:after="60"/>
      </w:pPr>
      <w:r>
        <w:rPr>
          <w:rFonts w:ascii="Calibri" w:hAnsi="Calibri"/>
          <w:b/>
        </w:rPr>
        <w:t xml:space="preserve">Layer 2: </w:t>
      </w:r>
      <w:r>
        <w:rPr>
          <w:rFonts w:ascii="Calibri" w:hAnsi="Calibri"/>
        </w:rPr>
        <w:t>Mathematical Processing Engines</w:t>
      </w:r>
      <w:r w:rsidR="00E05CE6">
        <w:rPr>
          <w:rFonts w:ascii="Calibri" w:hAnsi="Calibri"/>
        </w:rPr>
        <w:t>,</w:t>
      </w:r>
      <w:r>
        <w:rPr>
          <w:rFonts w:ascii="Calibri" w:hAnsi="Calibri"/>
        </w:rPr>
        <w:t xml:space="preserve"> Modular Python functions for each analytical model.</w:t>
      </w:r>
    </w:p>
    <w:p w14:paraId="6E554B68" w14:textId="5591C7A3" w:rsidR="00617EA7" w:rsidRDefault="00000000">
      <w:pPr>
        <w:pStyle w:val="ListBullet"/>
        <w:spacing w:after="60"/>
      </w:pPr>
      <w:r>
        <w:rPr>
          <w:rFonts w:ascii="Calibri" w:hAnsi="Calibri"/>
          <w:b/>
        </w:rPr>
        <w:t xml:space="preserve">Layer 3: </w:t>
      </w:r>
      <w:r>
        <w:rPr>
          <w:rFonts w:ascii="Calibri" w:hAnsi="Calibri"/>
        </w:rPr>
        <w:t xml:space="preserve">Frontend UI Renderer </w:t>
      </w:r>
      <w:proofErr w:type="spellStart"/>
      <w:r>
        <w:rPr>
          <w:rFonts w:ascii="Calibri" w:hAnsi="Calibri"/>
        </w:rPr>
        <w:t>Streamlit</w:t>
      </w:r>
      <w:proofErr w:type="spellEnd"/>
      <w:r>
        <w:rPr>
          <w:rFonts w:ascii="Calibri" w:hAnsi="Calibri"/>
        </w:rPr>
        <w:t xml:space="preserve"> components that consume the engine outputs.</w:t>
      </w:r>
    </w:p>
    <w:p w14:paraId="593ABBCE" w14:textId="77777777" w:rsidR="00617EA7" w:rsidRDefault="00000000">
      <w:pPr>
        <w:pStyle w:val="Heading2"/>
      </w:pPr>
      <w:r>
        <w:rPr>
          <w:rFonts w:ascii="Calibri" w:hAnsi="Calibri"/>
          <w:color w:val="003366"/>
        </w:rPr>
        <w:t>3.2  Technology Stack</w:t>
      </w:r>
    </w:p>
    <w:tbl>
      <w:tblPr>
        <w:tblStyle w:val="TableGrid"/>
        <w:tblW w:w="0" w:type="auto"/>
        <w:tblLook w:val="04A0" w:firstRow="1" w:lastRow="0" w:firstColumn="1" w:lastColumn="0" w:noHBand="0" w:noVBand="1"/>
      </w:tblPr>
      <w:tblGrid>
        <w:gridCol w:w="3041"/>
        <w:gridCol w:w="3041"/>
        <w:gridCol w:w="3041"/>
      </w:tblGrid>
      <w:tr w:rsidR="00617EA7" w14:paraId="32BF38BA" w14:textId="77777777">
        <w:tc>
          <w:tcPr>
            <w:tcW w:w="3041" w:type="dxa"/>
            <w:shd w:val="clear" w:color="auto" w:fill="003366"/>
          </w:tcPr>
          <w:p w14:paraId="3D43C4BF" w14:textId="77777777" w:rsidR="00617EA7" w:rsidRDefault="00000000">
            <w:r>
              <w:rPr>
                <w:b/>
                <w:color w:val="FFFFFF"/>
                <w:sz w:val="20"/>
              </w:rPr>
              <w:t>Component</w:t>
            </w:r>
          </w:p>
        </w:tc>
        <w:tc>
          <w:tcPr>
            <w:tcW w:w="3041" w:type="dxa"/>
            <w:shd w:val="clear" w:color="auto" w:fill="003366"/>
          </w:tcPr>
          <w:p w14:paraId="6BDFB757" w14:textId="77777777" w:rsidR="00617EA7" w:rsidRDefault="00000000">
            <w:r>
              <w:rPr>
                <w:b/>
                <w:color w:val="FFFFFF"/>
                <w:sz w:val="20"/>
              </w:rPr>
              <w:t>Technology</w:t>
            </w:r>
          </w:p>
        </w:tc>
        <w:tc>
          <w:tcPr>
            <w:tcW w:w="3041" w:type="dxa"/>
            <w:shd w:val="clear" w:color="auto" w:fill="003366"/>
          </w:tcPr>
          <w:p w14:paraId="00896A4A" w14:textId="77777777" w:rsidR="00617EA7" w:rsidRDefault="00000000">
            <w:r>
              <w:rPr>
                <w:b/>
                <w:color w:val="FFFFFF"/>
                <w:sz w:val="20"/>
              </w:rPr>
              <w:t>Purpose</w:t>
            </w:r>
          </w:p>
        </w:tc>
      </w:tr>
      <w:tr w:rsidR="00617EA7" w14:paraId="36554D6A" w14:textId="77777777">
        <w:tc>
          <w:tcPr>
            <w:tcW w:w="3041" w:type="dxa"/>
          </w:tcPr>
          <w:p w14:paraId="6CF018FA" w14:textId="77777777" w:rsidR="00617EA7" w:rsidRDefault="00000000">
            <w:r>
              <w:rPr>
                <w:rFonts w:ascii="Calibri" w:hAnsi="Calibri"/>
                <w:sz w:val="20"/>
              </w:rPr>
              <w:t>Language</w:t>
            </w:r>
          </w:p>
        </w:tc>
        <w:tc>
          <w:tcPr>
            <w:tcW w:w="3041" w:type="dxa"/>
          </w:tcPr>
          <w:p w14:paraId="51FB1941" w14:textId="77777777" w:rsidR="00617EA7" w:rsidRDefault="00000000">
            <w:r>
              <w:rPr>
                <w:rFonts w:ascii="Calibri" w:hAnsi="Calibri"/>
                <w:sz w:val="20"/>
              </w:rPr>
              <w:t>Python 3.12</w:t>
            </w:r>
          </w:p>
        </w:tc>
        <w:tc>
          <w:tcPr>
            <w:tcW w:w="3041" w:type="dxa"/>
          </w:tcPr>
          <w:p w14:paraId="2904C063" w14:textId="77777777" w:rsidR="00617EA7" w:rsidRDefault="00000000">
            <w:r>
              <w:rPr>
                <w:rFonts w:ascii="Calibri" w:hAnsi="Calibri"/>
                <w:sz w:val="20"/>
              </w:rPr>
              <w:t>Core runtime and OOP engine architecture.</w:t>
            </w:r>
          </w:p>
        </w:tc>
      </w:tr>
      <w:tr w:rsidR="00617EA7" w14:paraId="2A6E5CF9" w14:textId="77777777">
        <w:tc>
          <w:tcPr>
            <w:tcW w:w="3041" w:type="dxa"/>
          </w:tcPr>
          <w:p w14:paraId="01879EDF" w14:textId="77777777" w:rsidR="00617EA7" w:rsidRDefault="00000000">
            <w:r>
              <w:rPr>
                <w:rFonts w:ascii="Calibri" w:hAnsi="Calibri"/>
                <w:sz w:val="20"/>
              </w:rPr>
              <w:t>Frontend</w:t>
            </w:r>
          </w:p>
        </w:tc>
        <w:tc>
          <w:tcPr>
            <w:tcW w:w="3041" w:type="dxa"/>
          </w:tcPr>
          <w:p w14:paraId="4AE68FCD" w14:textId="77777777" w:rsidR="00617EA7" w:rsidRDefault="00000000">
            <w:r>
              <w:rPr>
                <w:rFonts w:ascii="Calibri" w:hAnsi="Calibri"/>
                <w:sz w:val="20"/>
              </w:rPr>
              <w:t>Streamlit</w:t>
            </w:r>
          </w:p>
        </w:tc>
        <w:tc>
          <w:tcPr>
            <w:tcW w:w="3041" w:type="dxa"/>
          </w:tcPr>
          <w:p w14:paraId="0A278D8F" w14:textId="77777777" w:rsidR="00617EA7" w:rsidRDefault="00000000">
            <w:r>
              <w:rPr>
                <w:rFonts w:ascii="Calibri" w:hAnsi="Calibri"/>
                <w:sz w:val="20"/>
              </w:rPr>
              <w:t>React-based UI generated entirely from Python.</w:t>
            </w:r>
          </w:p>
        </w:tc>
      </w:tr>
      <w:tr w:rsidR="00617EA7" w14:paraId="484A973B" w14:textId="77777777">
        <w:tc>
          <w:tcPr>
            <w:tcW w:w="3041" w:type="dxa"/>
          </w:tcPr>
          <w:p w14:paraId="66F194DF" w14:textId="77777777" w:rsidR="00617EA7" w:rsidRDefault="00000000">
            <w:r>
              <w:rPr>
                <w:rFonts w:ascii="Calibri" w:hAnsi="Calibri"/>
                <w:sz w:val="20"/>
              </w:rPr>
              <w:t>Data Science</w:t>
            </w:r>
          </w:p>
        </w:tc>
        <w:tc>
          <w:tcPr>
            <w:tcW w:w="3041" w:type="dxa"/>
          </w:tcPr>
          <w:p w14:paraId="5CE915BD" w14:textId="77777777" w:rsidR="00617EA7" w:rsidRDefault="00000000">
            <w:r>
              <w:rPr>
                <w:rFonts w:ascii="Calibri" w:hAnsi="Calibri"/>
                <w:sz w:val="20"/>
              </w:rPr>
              <w:t>Pandas / NumPy</w:t>
            </w:r>
          </w:p>
        </w:tc>
        <w:tc>
          <w:tcPr>
            <w:tcW w:w="3041" w:type="dxa"/>
          </w:tcPr>
          <w:p w14:paraId="74F3CE9F" w14:textId="77777777" w:rsidR="00617EA7" w:rsidRDefault="00000000">
            <w:r>
              <w:rPr>
                <w:rFonts w:ascii="Calibri" w:hAnsi="Calibri"/>
                <w:sz w:val="20"/>
              </w:rPr>
              <w:t>Vectorised data operations and linear algebra.</w:t>
            </w:r>
          </w:p>
        </w:tc>
      </w:tr>
      <w:tr w:rsidR="00617EA7" w14:paraId="1C45704E" w14:textId="77777777">
        <w:tc>
          <w:tcPr>
            <w:tcW w:w="3041" w:type="dxa"/>
          </w:tcPr>
          <w:p w14:paraId="70989ACE" w14:textId="77777777" w:rsidR="00617EA7" w:rsidRDefault="00000000">
            <w:r>
              <w:rPr>
                <w:rFonts w:ascii="Calibri" w:hAnsi="Calibri"/>
                <w:sz w:val="20"/>
              </w:rPr>
              <w:t>Statistics</w:t>
            </w:r>
          </w:p>
        </w:tc>
        <w:tc>
          <w:tcPr>
            <w:tcW w:w="3041" w:type="dxa"/>
          </w:tcPr>
          <w:p w14:paraId="2977D204" w14:textId="77777777" w:rsidR="00617EA7" w:rsidRDefault="00000000">
            <w:r>
              <w:rPr>
                <w:rFonts w:ascii="Calibri" w:hAnsi="Calibri"/>
                <w:sz w:val="20"/>
              </w:rPr>
              <w:t>SciPy</w:t>
            </w:r>
          </w:p>
        </w:tc>
        <w:tc>
          <w:tcPr>
            <w:tcW w:w="3041" w:type="dxa"/>
          </w:tcPr>
          <w:p w14:paraId="74C09C9F" w14:textId="77777777" w:rsidR="00617EA7" w:rsidRDefault="00000000">
            <w:r>
              <w:rPr>
                <w:rFonts w:ascii="Calibri" w:hAnsi="Calibri"/>
                <w:sz w:val="20"/>
              </w:rPr>
              <w:t>Pearson Correlation for pattern matching.</w:t>
            </w:r>
          </w:p>
        </w:tc>
      </w:tr>
      <w:tr w:rsidR="00617EA7" w14:paraId="649E543A" w14:textId="77777777">
        <w:tc>
          <w:tcPr>
            <w:tcW w:w="3041" w:type="dxa"/>
          </w:tcPr>
          <w:p w14:paraId="2EF2336F" w14:textId="77777777" w:rsidR="00617EA7" w:rsidRDefault="00000000">
            <w:r>
              <w:rPr>
                <w:rFonts w:ascii="Calibri" w:hAnsi="Calibri"/>
                <w:sz w:val="20"/>
              </w:rPr>
              <w:t>Visualisation</w:t>
            </w:r>
          </w:p>
        </w:tc>
        <w:tc>
          <w:tcPr>
            <w:tcW w:w="3041" w:type="dxa"/>
          </w:tcPr>
          <w:p w14:paraId="1CABEDA9" w14:textId="77777777" w:rsidR="00617EA7" w:rsidRDefault="00000000">
            <w:r>
              <w:rPr>
                <w:rFonts w:ascii="Calibri" w:hAnsi="Calibri"/>
                <w:sz w:val="20"/>
              </w:rPr>
              <w:t>Plotly (WebGL)</w:t>
            </w:r>
          </w:p>
        </w:tc>
        <w:tc>
          <w:tcPr>
            <w:tcW w:w="3041" w:type="dxa"/>
          </w:tcPr>
          <w:p w14:paraId="0AC9390D" w14:textId="77777777" w:rsidR="00617EA7" w:rsidRDefault="00000000">
            <w:r>
              <w:rPr>
                <w:rFonts w:ascii="Calibri" w:hAnsi="Calibri"/>
                <w:sz w:val="20"/>
              </w:rPr>
              <w:t>High-performance interactive charts and 3D globe.</w:t>
            </w:r>
          </w:p>
        </w:tc>
      </w:tr>
      <w:tr w:rsidR="00617EA7" w14:paraId="5BC00B04" w14:textId="77777777">
        <w:tc>
          <w:tcPr>
            <w:tcW w:w="3041" w:type="dxa"/>
          </w:tcPr>
          <w:p w14:paraId="2912313A" w14:textId="77777777" w:rsidR="00617EA7" w:rsidRDefault="00000000">
            <w:r>
              <w:rPr>
                <w:rFonts w:ascii="Calibri" w:hAnsi="Calibri"/>
                <w:sz w:val="20"/>
              </w:rPr>
              <w:t>Market Data</w:t>
            </w:r>
          </w:p>
        </w:tc>
        <w:tc>
          <w:tcPr>
            <w:tcW w:w="3041" w:type="dxa"/>
          </w:tcPr>
          <w:p w14:paraId="39F75716" w14:textId="77777777" w:rsidR="00617EA7" w:rsidRDefault="00000000">
            <w:r>
              <w:rPr>
                <w:rFonts w:ascii="Calibri" w:hAnsi="Calibri"/>
                <w:sz w:val="20"/>
              </w:rPr>
              <w:t>yfinance</w:t>
            </w:r>
          </w:p>
        </w:tc>
        <w:tc>
          <w:tcPr>
            <w:tcW w:w="3041" w:type="dxa"/>
          </w:tcPr>
          <w:p w14:paraId="60D4B8BD" w14:textId="77777777" w:rsidR="00617EA7" w:rsidRDefault="00000000">
            <w:r>
              <w:rPr>
                <w:rFonts w:ascii="Calibri" w:hAnsi="Calibri"/>
                <w:sz w:val="20"/>
              </w:rPr>
              <w:t>Live REST API wrapper for Yahoo Finance.</w:t>
            </w:r>
          </w:p>
        </w:tc>
      </w:tr>
      <w:tr w:rsidR="00617EA7" w14:paraId="5A90AC60" w14:textId="77777777">
        <w:tc>
          <w:tcPr>
            <w:tcW w:w="3041" w:type="dxa"/>
          </w:tcPr>
          <w:p w14:paraId="717388EB" w14:textId="77777777" w:rsidR="00617EA7" w:rsidRDefault="00000000">
            <w:r>
              <w:rPr>
                <w:rFonts w:ascii="Calibri" w:hAnsi="Calibri"/>
                <w:sz w:val="20"/>
              </w:rPr>
              <w:t>State Management</w:t>
            </w:r>
          </w:p>
        </w:tc>
        <w:tc>
          <w:tcPr>
            <w:tcW w:w="3041" w:type="dxa"/>
          </w:tcPr>
          <w:p w14:paraId="785891DC" w14:textId="77777777" w:rsidR="00617EA7" w:rsidRDefault="00000000">
            <w:r>
              <w:rPr>
                <w:rFonts w:ascii="Calibri" w:hAnsi="Calibri"/>
                <w:sz w:val="20"/>
              </w:rPr>
              <w:t>st.session_state</w:t>
            </w:r>
          </w:p>
        </w:tc>
        <w:tc>
          <w:tcPr>
            <w:tcW w:w="3041" w:type="dxa"/>
          </w:tcPr>
          <w:p w14:paraId="78E093BD" w14:textId="77777777" w:rsidR="00617EA7" w:rsidRDefault="00000000">
            <w:r>
              <w:rPr>
                <w:rFonts w:ascii="Calibri" w:hAnsi="Calibri"/>
                <w:sz w:val="20"/>
              </w:rPr>
              <w:t>Persistent browser-session variable storage.</w:t>
            </w:r>
          </w:p>
        </w:tc>
      </w:tr>
      <w:tr w:rsidR="00617EA7" w14:paraId="0798D8E9" w14:textId="77777777">
        <w:tc>
          <w:tcPr>
            <w:tcW w:w="3041" w:type="dxa"/>
          </w:tcPr>
          <w:p w14:paraId="7B31BC4F" w14:textId="77777777" w:rsidR="00617EA7" w:rsidRDefault="00000000">
            <w:r>
              <w:rPr>
                <w:rFonts w:ascii="Calibri" w:hAnsi="Calibri"/>
                <w:sz w:val="20"/>
              </w:rPr>
              <w:t>UI Styling</w:t>
            </w:r>
          </w:p>
        </w:tc>
        <w:tc>
          <w:tcPr>
            <w:tcW w:w="3041" w:type="dxa"/>
          </w:tcPr>
          <w:p w14:paraId="3E120FF2" w14:textId="77777777" w:rsidR="00617EA7" w:rsidRDefault="00000000">
            <w:r>
              <w:rPr>
                <w:rFonts w:ascii="Calibri" w:hAnsi="Calibri"/>
                <w:sz w:val="20"/>
              </w:rPr>
              <w:t>Custom CSS Keyframes</w:t>
            </w:r>
          </w:p>
        </w:tc>
        <w:tc>
          <w:tcPr>
            <w:tcW w:w="3041" w:type="dxa"/>
          </w:tcPr>
          <w:p w14:paraId="55FA8A4F" w14:textId="77777777" w:rsidR="00617EA7" w:rsidRDefault="00000000">
            <w:r>
              <w:rPr>
                <w:rFonts w:ascii="Calibri" w:hAnsi="Calibri"/>
                <w:sz w:val="20"/>
              </w:rPr>
              <w:t>Glassmorphism animations injected into the DOM.</w:t>
            </w:r>
          </w:p>
        </w:tc>
      </w:tr>
    </w:tbl>
    <w:p w14:paraId="0DC61ED1" w14:textId="77777777" w:rsidR="00617EA7" w:rsidRDefault="00617EA7"/>
    <w:p w14:paraId="0498E5F0" w14:textId="77777777" w:rsidR="00617EA7" w:rsidRDefault="00000000">
      <w:pPr>
        <w:pStyle w:val="Heading2"/>
      </w:pPr>
      <w:r>
        <w:rPr>
          <w:rFonts w:ascii="Calibri" w:hAnsi="Calibri"/>
          <w:color w:val="003366"/>
        </w:rPr>
        <w:t>3.3  Data Entity Mapping</w:t>
      </w:r>
    </w:p>
    <w:p w14:paraId="78B9C987" w14:textId="001BF397" w:rsidR="00617EA7" w:rsidRDefault="00000000">
      <w:pPr>
        <w:spacing w:before="40" w:after="120"/>
      </w:pPr>
      <w:r>
        <w:rPr>
          <w:rFonts w:ascii="Calibri" w:hAnsi="Calibri"/>
        </w:rPr>
        <w:t xml:space="preserve">The entire application is built around a single Python dictionary, COMPANY_MAP, which serves as the authoritative registry for all 10 companies tracked by the platform. Each entry stores the Yahoo Finance ticker symbol, the company's industry classification, and its brand color. This </w:t>
      </w:r>
      <w:proofErr w:type="gramStart"/>
      <w:r>
        <w:rPr>
          <w:rFonts w:ascii="Calibri" w:hAnsi="Calibri"/>
        </w:rPr>
        <w:t>O(</w:t>
      </w:r>
      <w:proofErr w:type="gramEnd"/>
      <w:r>
        <w:rPr>
          <w:rFonts w:ascii="Calibri" w:hAnsi="Calibri"/>
        </w:rPr>
        <w:t>1)-lookup registry ensures that adding a new company to the platform requires only a single dictionary entry</w:t>
      </w:r>
      <w:r w:rsidR="00E05CE6">
        <w:rPr>
          <w:rFonts w:ascii="Calibri" w:hAnsi="Calibri"/>
        </w:rPr>
        <w:t xml:space="preserve">; </w:t>
      </w:r>
      <w:r>
        <w:rPr>
          <w:rFonts w:ascii="Calibri" w:hAnsi="Calibri"/>
        </w:rPr>
        <w:t>every downstream engine immediately picks it up without code duplication.</w:t>
      </w:r>
    </w:p>
    <w:p w14:paraId="0A7539BB" w14:textId="77777777" w:rsidR="00617EA7" w:rsidRDefault="00617EA7">
      <w:pPr>
        <w:pBdr>
          <w:bottom w:val="single" w:sz="6" w:space="1" w:color="003366"/>
        </w:pBdr>
        <w:spacing w:before="40" w:after="120"/>
      </w:pPr>
    </w:p>
    <w:p w14:paraId="4E346DCF" w14:textId="77777777" w:rsidR="00617EA7" w:rsidRDefault="00000000">
      <w:pPr>
        <w:pStyle w:val="Heading1"/>
      </w:pPr>
      <w:r>
        <w:rPr>
          <w:rFonts w:ascii="Calibri" w:hAnsi="Calibri"/>
          <w:color w:val="003366"/>
        </w:rPr>
        <w:t>4. Core Analytical Engines</w:t>
      </w:r>
    </w:p>
    <w:p w14:paraId="4C6584DA" w14:textId="77777777" w:rsidR="00617EA7" w:rsidRDefault="00000000">
      <w:pPr>
        <w:pStyle w:val="Heading2"/>
      </w:pPr>
      <w:r>
        <w:rPr>
          <w:rFonts w:ascii="Calibri" w:hAnsi="Calibri"/>
          <w:color w:val="003366"/>
        </w:rPr>
        <w:t>4.1  Unified Business Health Score (AI Ensemble Engine)</w:t>
      </w:r>
    </w:p>
    <w:p w14:paraId="6DA67330" w14:textId="396CACD0" w:rsidR="00617EA7" w:rsidRDefault="00000000">
      <w:pPr>
        <w:spacing w:before="40" w:after="120"/>
      </w:pPr>
      <w:r>
        <w:rPr>
          <w:rFonts w:ascii="Calibri" w:hAnsi="Calibri"/>
        </w:rPr>
        <w:t>The Unified Business Health Score is the central deliverable of the Capstone Rubric. Rather than relying on a single noisy and unreliable</w:t>
      </w:r>
      <w:r w:rsidR="00E05CE6">
        <w:rPr>
          <w:rFonts w:ascii="Calibri" w:hAnsi="Calibri"/>
        </w:rPr>
        <w:t xml:space="preserve"> data signal,</w:t>
      </w:r>
      <w:r>
        <w:rPr>
          <w:rFonts w:ascii="Calibri" w:hAnsi="Calibri"/>
        </w:rPr>
        <w:t xml:space="preserve"> the platform runs three independent AI models in parallel</w:t>
      </w:r>
      <w:r w:rsidR="00E05CE6">
        <w:rPr>
          <w:rFonts w:ascii="Calibri" w:hAnsi="Calibri"/>
        </w:rPr>
        <w:t>.</w:t>
      </w:r>
      <w:r>
        <w:rPr>
          <w:rFonts w:ascii="Calibri" w:hAnsi="Calibri"/>
        </w:rPr>
        <w:t xml:space="preserve"> </w:t>
      </w:r>
      <w:r w:rsidR="00E05CE6">
        <w:rPr>
          <w:rFonts w:ascii="Calibri" w:hAnsi="Calibri"/>
        </w:rPr>
        <w:t>It</w:t>
      </w:r>
      <w:r>
        <w:rPr>
          <w:rFonts w:ascii="Calibri" w:hAnsi="Calibri"/>
        </w:rPr>
        <w:t xml:space="preserve"> aggregates their votes into a single Consensus Directive.</w:t>
      </w:r>
    </w:p>
    <w:p w14:paraId="259DEA08" w14:textId="67097EAA" w:rsidR="00617EA7" w:rsidRDefault="00000000">
      <w:pPr>
        <w:pStyle w:val="ListBullet"/>
        <w:spacing w:after="60"/>
      </w:pPr>
      <w:r>
        <w:rPr>
          <w:rFonts w:ascii="Calibri" w:hAnsi="Calibri"/>
          <w:b/>
        </w:rPr>
        <w:t>Model 1</w:t>
      </w:r>
      <w:r w:rsidR="00E05CE6">
        <w:rPr>
          <w:rFonts w:ascii="Calibri" w:hAnsi="Calibri"/>
          <w:b/>
        </w:rPr>
        <w:t>:</w:t>
      </w:r>
      <w:r>
        <w:rPr>
          <w:rFonts w:ascii="Calibri" w:hAnsi="Calibri"/>
          <w:b/>
        </w:rPr>
        <w:t xml:space="preserve">  Risk AI: </w:t>
      </w:r>
      <w:r>
        <w:rPr>
          <w:rFonts w:ascii="Calibri" w:hAnsi="Calibri"/>
        </w:rPr>
        <w:t>Calculates the standard deviation of recent closing prices to evaluate market-implied risk.</w:t>
      </w:r>
    </w:p>
    <w:p w14:paraId="3627F678" w14:textId="56A35E64" w:rsidR="00617EA7" w:rsidRDefault="00000000">
      <w:pPr>
        <w:pStyle w:val="ListBullet"/>
        <w:spacing w:after="60"/>
      </w:pPr>
      <w:r>
        <w:rPr>
          <w:rFonts w:ascii="Calibri" w:hAnsi="Calibri"/>
          <w:b/>
        </w:rPr>
        <w:t>Model 2</w:t>
      </w:r>
      <w:r w:rsidR="00E05CE6">
        <w:rPr>
          <w:rFonts w:ascii="Calibri" w:hAnsi="Calibri"/>
          <w:b/>
        </w:rPr>
        <w:t>:</w:t>
      </w:r>
      <w:r>
        <w:rPr>
          <w:rFonts w:ascii="Calibri" w:hAnsi="Calibri"/>
          <w:b/>
        </w:rPr>
        <w:t xml:space="preserve"> Financial AI: </w:t>
      </w:r>
      <w:r>
        <w:rPr>
          <w:rFonts w:ascii="Calibri" w:hAnsi="Calibri"/>
        </w:rPr>
        <w:t>Evaluates gross margins and revenue growth trends against hardcoded algorithmic thresholds.</w:t>
      </w:r>
    </w:p>
    <w:p w14:paraId="362730F6" w14:textId="54691651" w:rsidR="00617EA7" w:rsidRDefault="00000000">
      <w:pPr>
        <w:pStyle w:val="ListBullet"/>
        <w:spacing w:after="60"/>
      </w:pPr>
      <w:r>
        <w:rPr>
          <w:rFonts w:ascii="Calibri" w:hAnsi="Calibri"/>
          <w:b/>
        </w:rPr>
        <w:t>Model 3</w:t>
      </w:r>
      <w:r w:rsidR="00E05CE6">
        <w:rPr>
          <w:rFonts w:ascii="Calibri" w:hAnsi="Calibri"/>
          <w:b/>
        </w:rPr>
        <w:t>:</w:t>
      </w:r>
      <w:r>
        <w:rPr>
          <w:rFonts w:ascii="Calibri" w:hAnsi="Calibri"/>
          <w:b/>
        </w:rPr>
        <w:t xml:space="preserve"> Strategy AI: </w:t>
      </w:r>
      <w:r>
        <w:rPr>
          <w:rFonts w:ascii="Calibri" w:hAnsi="Calibri"/>
        </w:rPr>
        <w:t>Uses heuristic keyword matching against live news headlines to generate a sentiment score.</w:t>
      </w:r>
    </w:p>
    <w:p w14:paraId="188E1F44" w14:textId="77777777" w:rsidR="00617EA7" w:rsidRDefault="00000000">
      <w:pPr>
        <w:spacing w:before="40" w:after="120"/>
      </w:pPr>
      <w:r>
        <w:rPr>
          <w:rFonts w:ascii="Calibri" w:hAnsi="Calibri"/>
        </w:rPr>
        <w:t>Each model votes +1 (Buy), 0 (Hold), or -1 (Sell). The algebraic sum of all three votes produces the final Consensus: STRONG BUY (+3/+2), BUY (+1), HOLD (0), SELL (-1), or STRONG SELL (-2/-3). A confidence percentage is calculated as the absolute decisiveness of the vote divided by the maximum possible score.</w:t>
      </w:r>
    </w:p>
    <w:p w14:paraId="1F523BA3" w14:textId="77777777" w:rsidR="00617EA7" w:rsidRDefault="00000000">
      <w:pPr>
        <w:pStyle w:val="Heading2"/>
      </w:pPr>
      <w:r>
        <w:rPr>
          <w:rFonts w:ascii="Calibri" w:hAnsi="Calibri"/>
          <w:color w:val="003366"/>
        </w:rPr>
        <w:t>4.2  Discounted Cash Flow (DCF) Valuation Engine</w:t>
      </w:r>
    </w:p>
    <w:p w14:paraId="30C69E14" w14:textId="78833FC9" w:rsidR="00617EA7" w:rsidRDefault="00000000">
      <w:pPr>
        <w:spacing w:before="40" w:after="120"/>
      </w:pPr>
      <w:r>
        <w:rPr>
          <w:rFonts w:ascii="Calibri" w:hAnsi="Calibri"/>
        </w:rPr>
        <w:t xml:space="preserve">The DCF Engine implements the gold standard of institutional financial analysis. The algorithm fetches the company's latest Free Cash Flow (FCF) figure from the Yahoo Finance fundamentals feed, projects it five years into the future </w:t>
      </w:r>
      <w:r w:rsidR="00E05CE6">
        <w:rPr>
          <w:rFonts w:ascii="Calibri" w:hAnsi="Calibri"/>
        </w:rPr>
        <w:t xml:space="preserve">under a constant-growth rate </w:t>
      </w:r>
      <w:proofErr w:type="gramStart"/>
      <w:r w:rsidR="00E05CE6">
        <w:rPr>
          <w:rFonts w:ascii="Calibri" w:hAnsi="Calibri"/>
        </w:rPr>
        <w:t>assumption, and</w:t>
      </w:r>
      <w:proofErr w:type="gramEnd"/>
      <w:r w:rsidR="00E05CE6">
        <w:rPr>
          <w:rFonts w:ascii="Calibri" w:hAnsi="Calibri"/>
        </w:rPr>
        <w:t xml:space="preserve"> discounts the projected cash flows to present</w:t>
      </w:r>
      <w:r>
        <w:rPr>
          <w:rFonts w:ascii="Calibri" w:hAnsi="Calibri"/>
        </w:rPr>
        <w:t xml:space="preserve"> value using an estimated Weighted Average Cost of Capital (WACC). The resulting Intrinsic Value is compared to the current market price to produce a Margin of Safety percentage, which tells the executive precisely whether the stock is fundamentally undervalued or overvalued by the market.</w:t>
      </w:r>
    </w:p>
    <w:p w14:paraId="4EAB3224" w14:textId="77777777" w:rsidR="00617EA7" w:rsidRDefault="00000000">
      <w:pPr>
        <w:pStyle w:val="Heading2"/>
      </w:pPr>
      <w:r>
        <w:rPr>
          <w:rFonts w:ascii="Calibri" w:hAnsi="Calibri"/>
          <w:color w:val="003366"/>
        </w:rPr>
        <w:t>4.3  Portfolio Optimization Engine (Modern Portfolio Theory)</w:t>
      </w:r>
    </w:p>
    <w:p w14:paraId="18AF76DB" w14:textId="5E330C30" w:rsidR="00617EA7" w:rsidRDefault="00000000">
      <w:pPr>
        <w:spacing w:before="40" w:after="120"/>
      </w:pPr>
      <w:r>
        <w:rPr>
          <w:rFonts w:ascii="Calibri" w:hAnsi="Calibri"/>
        </w:rPr>
        <w:t xml:space="preserve">The portfolio engine implements Harry Markowitz's Nobel Prize-winning Modern Portfolio Theory (MPT). The algorithm fetches 365 days of daily closing prices for all 10 assets, calculates their daily </w:t>
      </w:r>
      <w:r>
        <w:rPr>
          <w:rFonts w:ascii="Calibri" w:hAnsi="Calibri"/>
        </w:rPr>
        <w:lastRenderedPageBreak/>
        <w:t>percentage returns, and constructs a 10×10 Covariance Matrix. This matrix captures how every pair of assets moves relative to each other</w:t>
      </w:r>
      <w:r w:rsidR="00E05CE6">
        <w:rPr>
          <w:rFonts w:ascii="Calibri" w:hAnsi="Calibri"/>
        </w:rPr>
        <w:t>,</w:t>
      </w:r>
      <w:r>
        <w:rPr>
          <w:rFonts w:ascii="Calibri" w:hAnsi="Calibri"/>
        </w:rPr>
        <w:t xml:space="preserve"> the foundational insight of MPT.</w:t>
      </w:r>
    </w:p>
    <w:p w14:paraId="1E6F78FE" w14:textId="279918C4" w:rsidR="00617EA7" w:rsidRDefault="00000000">
      <w:pPr>
        <w:spacing w:before="40" w:after="120"/>
      </w:pPr>
      <w:r>
        <w:rPr>
          <w:rFonts w:ascii="Calibri" w:hAnsi="Calibri"/>
        </w:rPr>
        <w:t>Optimal weights are calculated using Inverse Volatility Weighting: assets with high standard deviations (such as Tesla) receive lower capital allocations, while stable assets (such as JPMorgan Chase) receive heavier allocations. This mathematically minimi</w:t>
      </w:r>
      <w:r w:rsidR="00E05CE6">
        <w:rPr>
          <w:rFonts w:ascii="Calibri" w:hAnsi="Calibri"/>
        </w:rPr>
        <w:t>z</w:t>
      </w:r>
      <w:r>
        <w:rPr>
          <w:rFonts w:ascii="Calibri" w:hAnsi="Calibri"/>
        </w:rPr>
        <w:t>es total portfolio risk and maximi</w:t>
      </w:r>
      <w:r w:rsidR="00E05CE6">
        <w:rPr>
          <w:rFonts w:ascii="Calibri" w:hAnsi="Calibri"/>
        </w:rPr>
        <w:t>z</w:t>
      </w:r>
      <w:r>
        <w:rPr>
          <w:rFonts w:ascii="Calibri" w:hAnsi="Calibri"/>
        </w:rPr>
        <w:t>es the Sharpe Ratio. The Capital Allocator then multiplies these weights against a user-specified dollar amount to generate a precise, executable allocation table.</w:t>
      </w:r>
    </w:p>
    <w:p w14:paraId="35815C0D" w14:textId="77777777" w:rsidR="00617EA7" w:rsidRDefault="00000000">
      <w:pPr>
        <w:pStyle w:val="Heading2"/>
      </w:pPr>
      <w:r>
        <w:rPr>
          <w:rFonts w:ascii="Calibri" w:hAnsi="Calibri"/>
          <w:color w:val="003366"/>
        </w:rPr>
        <w:t>4.4  Algorithmic Backtesting Engine</w:t>
      </w:r>
    </w:p>
    <w:p w14:paraId="3EB525E8" w14:textId="36DDF83E" w:rsidR="00617EA7" w:rsidRDefault="00000000">
      <w:pPr>
        <w:spacing w:before="40" w:after="120"/>
      </w:pPr>
      <w:r>
        <w:rPr>
          <w:rFonts w:ascii="Calibri" w:hAnsi="Calibri"/>
        </w:rPr>
        <w:t>The backtester evaluates three quantitative trading strategies against historical price data using fully vectori</w:t>
      </w:r>
      <w:r w:rsidR="00E05CE6">
        <w:rPr>
          <w:rFonts w:ascii="Calibri" w:hAnsi="Calibri"/>
        </w:rPr>
        <w:t>z</w:t>
      </w:r>
      <w:r>
        <w:rPr>
          <w:rFonts w:ascii="Calibri" w:hAnsi="Calibri"/>
        </w:rPr>
        <w:t xml:space="preserve">ed </w:t>
      </w:r>
      <w:proofErr w:type="gramStart"/>
      <w:r>
        <w:rPr>
          <w:rFonts w:ascii="Calibri" w:hAnsi="Calibri"/>
        </w:rPr>
        <w:t>Pandas</w:t>
      </w:r>
      <w:proofErr w:type="gramEnd"/>
      <w:r>
        <w:rPr>
          <w:rFonts w:ascii="Calibri" w:hAnsi="Calibri"/>
        </w:rPr>
        <w:t xml:space="preserve"> operations. The most critical engineering consideration is </w:t>
      </w:r>
      <w:r w:rsidR="00E05CE6">
        <w:rPr>
          <w:rFonts w:ascii="Calibri" w:hAnsi="Calibri"/>
        </w:rPr>
        <w:t xml:space="preserve">preventing look-ahead bias achieved by applying </w:t>
      </w:r>
      <w:proofErr w:type="spellStart"/>
      <w:r w:rsidR="00E05CE6">
        <w:rPr>
          <w:rFonts w:ascii="Calibri" w:hAnsi="Calibri"/>
        </w:rPr>
        <w:t>df</w:t>
      </w:r>
      <w:proofErr w:type="spellEnd"/>
      <w:r w:rsidR="00E05CE6">
        <w:rPr>
          <w:rFonts w:ascii="Calibri" w:hAnsi="Calibri"/>
        </w:rPr>
        <w:t>['Signal'</w:t>
      </w:r>
      <w:proofErr w:type="gramStart"/>
      <w:r w:rsidR="00E05CE6">
        <w:rPr>
          <w:rFonts w:ascii="Calibri" w:hAnsi="Calibri"/>
        </w:rPr>
        <w:t>].shift</w:t>
      </w:r>
      <w:proofErr w:type="gramEnd"/>
      <w:r w:rsidR="00E05CE6">
        <w:rPr>
          <w:rFonts w:ascii="Calibri" w:hAnsi="Calibri"/>
        </w:rPr>
        <w:t xml:space="preserve">(1), which ensures the algorithm only acts on information available </w:t>
      </w:r>
      <w:r w:rsidR="00E05CE6">
        <w:rPr>
          <w:rFonts w:ascii="Calibri" w:hAnsi="Calibri"/>
        </w:rPr>
        <w:t xml:space="preserve">on </w:t>
      </w:r>
      <w:r w:rsidR="00E05CE6">
        <w:rPr>
          <w:rFonts w:ascii="Calibri" w:hAnsi="Calibri"/>
        </w:rPr>
        <w:t>the prior trading day, thereby perfectly</w:t>
      </w:r>
      <w:r>
        <w:rPr>
          <w:rFonts w:ascii="Calibri" w:hAnsi="Calibri"/>
        </w:rPr>
        <w:t xml:space="preserve"> simulating real-world execution constraints. Supported strategies include SMA Crossover (trend-following), RSI Mean Reversion (momentum oscillator), and MACD Momentum (trend acceleration).</w:t>
      </w:r>
    </w:p>
    <w:p w14:paraId="467BFE30" w14:textId="77777777" w:rsidR="00617EA7" w:rsidRDefault="00000000">
      <w:pPr>
        <w:pStyle w:val="Heading2"/>
      </w:pPr>
      <w:r>
        <w:rPr>
          <w:rFonts w:ascii="Calibri" w:hAnsi="Calibri"/>
          <w:color w:val="003366"/>
        </w:rPr>
        <w:t>4.5  Geospatial Supply Chain Engine (Haversine Risk Collider)</w:t>
      </w:r>
    </w:p>
    <w:p w14:paraId="1DD3472A" w14:textId="38E6F91B" w:rsidR="00617EA7" w:rsidRDefault="00000000">
      <w:pPr>
        <w:spacing w:before="40" w:after="120"/>
      </w:pPr>
      <w:r>
        <w:rPr>
          <w:rFonts w:ascii="Calibri" w:hAnsi="Calibri"/>
        </w:rPr>
        <w:t>This engine maps each company's real-world physical infrastructure</w:t>
      </w:r>
      <w:r w:rsidR="00E05CE6">
        <w:rPr>
          <w:rFonts w:ascii="Calibri" w:hAnsi="Calibri"/>
        </w:rPr>
        <w:t>,</w:t>
      </w:r>
      <w:r>
        <w:rPr>
          <w:rFonts w:ascii="Calibri" w:hAnsi="Calibri"/>
        </w:rPr>
        <w:t xml:space="preserve"> manufacturing plants, data centers, and distribution hubs onto a 3D interactive Plotly globe. A mathematical risk-collision algorithm then </w:t>
      </w:r>
      <w:r w:rsidR="00E05CE6">
        <w:rPr>
          <w:rFonts w:ascii="Calibri" w:hAnsi="Calibri"/>
        </w:rPr>
        <w:t>determin</w:t>
      </w:r>
      <w:r>
        <w:rPr>
          <w:rFonts w:ascii="Calibri" w:hAnsi="Calibri"/>
        </w:rPr>
        <w:t>es whether any infrastructure node is physically within the blast radius of an active geopolitical danger zone (e.g., the Taiwan Strait</w:t>
      </w:r>
      <w:r w:rsidR="00E05CE6">
        <w:rPr>
          <w:rFonts w:ascii="Calibri" w:hAnsi="Calibri"/>
        </w:rPr>
        <w:t xml:space="preserve"> or</w:t>
      </w:r>
      <w:r>
        <w:rPr>
          <w:rFonts w:ascii="Calibri" w:hAnsi="Calibri"/>
        </w:rPr>
        <w:t xml:space="preserve"> the Red Sea). Because the Earth is a sphere, standard Euclidean distance fails; the engine implements the Haversine Formula to calculate the precise great-circle distance between two latitude/longitude coordinates.</w:t>
      </w:r>
    </w:p>
    <w:p w14:paraId="4D5DD3EC" w14:textId="77777777" w:rsidR="00617EA7" w:rsidRDefault="00000000">
      <w:pPr>
        <w:pStyle w:val="Heading2"/>
      </w:pPr>
      <w:r>
        <w:rPr>
          <w:rFonts w:ascii="Calibri" w:hAnsi="Calibri"/>
          <w:color w:val="003366"/>
        </w:rPr>
        <w:t>4.6  Historical Pattern Recognition Engine</w:t>
      </w:r>
    </w:p>
    <w:p w14:paraId="2397F162" w14:textId="65CB5B0B" w:rsidR="00617EA7" w:rsidRDefault="00000000">
      <w:pPr>
        <w:spacing w:before="40" w:after="120"/>
      </w:pPr>
      <w:r>
        <w:rPr>
          <w:rFonts w:ascii="Calibri" w:hAnsi="Calibri"/>
        </w:rPr>
        <w:t>This engine transitions the platform from static reporting to predictive analytics. It scans five years of historical closing price data and uses Pearson Correlation (via scipy.stats.pearsonr) to find the exact 30-day period in history that mathematically mirrors the current 30-day trend. Both price arrays are first normali</w:t>
      </w:r>
      <w:r w:rsidR="00E05CE6">
        <w:rPr>
          <w:rFonts w:ascii="Calibri" w:hAnsi="Calibri"/>
        </w:rPr>
        <w:t>z</w:t>
      </w:r>
      <w:r>
        <w:rPr>
          <w:rFonts w:ascii="Calibri" w:hAnsi="Calibri"/>
        </w:rPr>
        <w:t>ed using Z-score standardi</w:t>
      </w:r>
      <w:r w:rsidR="00E05CE6">
        <w:rPr>
          <w:rFonts w:ascii="Calibri" w:hAnsi="Calibri"/>
        </w:rPr>
        <w:t>z</w:t>
      </w:r>
      <w:r>
        <w:rPr>
          <w:rFonts w:ascii="Calibri" w:hAnsi="Calibri"/>
        </w:rPr>
        <w:t xml:space="preserve">ation to ensure </w:t>
      </w:r>
      <w:r w:rsidR="00E05CE6">
        <w:rPr>
          <w:rFonts w:ascii="Calibri" w:hAnsi="Calibri"/>
        </w:rPr>
        <w:t xml:space="preserve">a </w:t>
      </w:r>
      <w:r>
        <w:rPr>
          <w:rFonts w:ascii="Calibri" w:hAnsi="Calibri"/>
        </w:rPr>
        <w:t>fair comparison across different price levels. The Predictive Shadow then explicitly calculates the return achieved in the 30 days immediately following the historical match, providing a quantitative statistical baseline projection for the coming month.</w:t>
      </w:r>
    </w:p>
    <w:p w14:paraId="1713FE9E" w14:textId="77777777" w:rsidR="00617EA7" w:rsidRDefault="00617EA7">
      <w:pPr>
        <w:pBdr>
          <w:bottom w:val="single" w:sz="6" w:space="1" w:color="003366"/>
        </w:pBdr>
        <w:spacing w:before="40" w:after="120"/>
      </w:pPr>
    </w:p>
    <w:p w14:paraId="751BA7D8" w14:textId="77777777" w:rsidR="00617EA7" w:rsidRDefault="00000000">
      <w:pPr>
        <w:pStyle w:val="Heading1"/>
      </w:pPr>
      <w:r>
        <w:rPr>
          <w:rFonts w:ascii="Calibri" w:hAnsi="Calibri"/>
          <w:color w:val="003366"/>
        </w:rPr>
        <w:t>5. Capstone Alignment, Limitations &amp; Future Roadmap</w:t>
      </w:r>
    </w:p>
    <w:p w14:paraId="41030F5E" w14:textId="77777777" w:rsidR="00617EA7" w:rsidRDefault="00000000">
      <w:pPr>
        <w:pStyle w:val="Heading2"/>
      </w:pPr>
      <w:r>
        <w:rPr>
          <w:rFonts w:ascii="Calibri" w:hAnsi="Calibri"/>
          <w:color w:val="003366"/>
        </w:rPr>
        <w:t>5.1  Alignment with Capstone Rubric</w:t>
      </w:r>
    </w:p>
    <w:p w14:paraId="2D715367" w14:textId="77777777" w:rsidR="00617EA7" w:rsidRDefault="00000000">
      <w:pPr>
        <w:spacing w:before="40" w:after="120"/>
      </w:pPr>
      <w:r>
        <w:rPr>
          <w:rFonts w:ascii="Calibri" w:hAnsi="Calibri"/>
        </w:rPr>
        <w:t>Every module of the Zentai platform maps directly to a specific objective in the Capstone Rubric:</w:t>
      </w:r>
    </w:p>
    <w:tbl>
      <w:tblPr>
        <w:tblStyle w:val="TableGrid"/>
        <w:tblW w:w="0" w:type="auto"/>
        <w:tblLook w:val="04A0" w:firstRow="1" w:lastRow="0" w:firstColumn="1" w:lastColumn="0" w:noHBand="0" w:noVBand="1"/>
      </w:tblPr>
      <w:tblGrid>
        <w:gridCol w:w="4561"/>
        <w:gridCol w:w="4561"/>
      </w:tblGrid>
      <w:tr w:rsidR="00617EA7" w14:paraId="133FA872" w14:textId="77777777">
        <w:tc>
          <w:tcPr>
            <w:tcW w:w="4561" w:type="dxa"/>
            <w:shd w:val="clear" w:color="auto" w:fill="003366"/>
          </w:tcPr>
          <w:p w14:paraId="6F99707B" w14:textId="77777777" w:rsidR="00617EA7" w:rsidRDefault="00000000">
            <w:r>
              <w:rPr>
                <w:b/>
                <w:color w:val="FFFFFF"/>
                <w:sz w:val="20"/>
              </w:rPr>
              <w:t>Capstone Objective</w:t>
            </w:r>
          </w:p>
        </w:tc>
        <w:tc>
          <w:tcPr>
            <w:tcW w:w="4561" w:type="dxa"/>
            <w:shd w:val="clear" w:color="auto" w:fill="003366"/>
          </w:tcPr>
          <w:p w14:paraId="6C7D0542" w14:textId="77777777" w:rsidR="00617EA7" w:rsidRDefault="00000000">
            <w:r>
              <w:rPr>
                <w:b/>
                <w:color w:val="FFFFFF"/>
                <w:sz w:val="20"/>
              </w:rPr>
              <w:t>Platform Implementation</w:t>
            </w:r>
          </w:p>
        </w:tc>
      </w:tr>
      <w:tr w:rsidR="00617EA7" w14:paraId="367ADCEB" w14:textId="77777777">
        <w:tc>
          <w:tcPr>
            <w:tcW w:w="4561" w:type="dxa"/>
          </w:tcPr>
          <w:p w14:paraId="0C2DCD72" w14:textId="77777777" w:rsidR="00617EA7" w:rsidRDefault="00000000">
            <w:r>
              <w:rPr>
                <w:rFonts w:ascii="Calibri" w:hAnsi="Calibri"/>
                <w:sz w:val="20"/>
              </w:rPr>
              <w:t>Unified Business Health Score</w:t>
            </w:r>
          </w:p>
        </w:tc>
        <w:tc>
          <w:tcPr>
            <w:tcW w:w="4561" w:type="dxa"/>
          </w:tcPr>
          <w:p w14:paraId="542F5273" w14:textId="6D2A7BD4" w:rsidR="00617EA7" w:rsidRDefault="00000000">
            <w:r>
              <w:rPr>
                <w:rFonts w:ascii="Calibri" w:hAnsi="Calibri"/>
                <w:sz w:val="20"/>
              </w:rPr>
              <w:t xml:space="preserve">AI Ensemble Engine three-model vote producing a </w:t>
            </w:r>
            <w:r>
              <w:rPr>
                <w:rFonts w:ascii="Calibri" w:hAnsi="Calibri"/>
                <w:sz w:val="20"/>
              </w:rPr>
              <w:lastRenderedPageBreak/>
              <w:t>single Consensus Directive.</w:t>
            </w:r>
          </w:p>
        </w:tc>
      </w:tr>
      <w:tr w:rsidR="00617EA7" w14:paraId="25C5C263" w14:textId="77777777">
        <w:tc>
          <w:tcPr>
            <w:tcW w:w="4561" w:type="dxa"/>
          </w:tcPr>
          <w:p w14:paraId="227A06BA" w14:textId="77777777" w:rsidR="00617EA7" w:rsidRDefault="00000000">
            <w:r>
              <w:rPr>
                <w:rFonts w:ascii="Calibri" w:hAnsi="Calibri"/>
                <w:sz w:val="20"/>
              </w:rPr>
              <w:lastRenderedPageBreak/>
              <w:t>Financial Performance Aggregation</w:t>
            </w:r>
          </w:p>
        </w:tc>
        <w:tc>
          <w:tcPr>
            <w:tcW w:w="4561" w:type="dxa"/>
          </w:tcPr>
          <w:p w14:paraId="3E60E1DD" w14:textId="77777777" w:rsidR="00617EA7" w:rsidRDefault="00000000">
            <w:r>
              <w:rPr>
                <w:rFonts w:ascii="Calibri" w:hAnsi="Calibri"/>
                <w:sz w:val="20"/>
              </w:rPr>
              <w:t>DCF Valuation Engine and live KPI fetching (revenue, margins, growth).</w:t>
            </w:r>
          </w:p>
        </w:tc>
      </w:tr>
      <w:tr w:rsidR="00617EA7" w14:paraId="19AE391E" w14:textId="77777777">
        <w:tc>
          <w:tcPr>
            <w:tcW w:w="4561" w:type="dxa"/>
          </w:tcPr>
          <w:p w14:paraId="2EBF2768" w14:textId="77777777" w:rsidR="00617EA7" w:rsidRDefault="00000000">
            <w:r>
              <w:rPr>
                <w:rFonts w:ascii="Calibri" w:hAnsi="Calibri"/>
                <w:sz w:val="20"/>
              </w:rPr>
              <w:t>Operational Efficiency Metrics</w:t>
            </w:r>
          </w:p>
        </w:tc>
        <w:tc>
          <w:tcPr>
            <w:tcW w:w="4561" w:type="dxa"/>
          </w:tcPr>
          <w:p w14:paraId="765799A5" w14:textId="77777777" w:rsidR="00617EA7" w:rsidRDefault="00000000">
            <w:r>
              <w:rPr>
                <w:rFonts w:ascii="Calibri" w:hAnsi="Calibri"/>
                <w:sz w:val="20"/>
              </w:rPr>
              <w:t>Geospatial Supply Chain Heatmap with Haversine risk collision detection.</w:t>
            </w:r>
          </w:p>
        </w:tc>
      </w:tr>
      <w:tr w:rsidR="00617EA7" w14:paraId="208AFD9A" w14:textId="77777777">
        <w:tc>
          <w:tcPr>
            <w:tcW w:w="4561" w:type="dxa"/>
          </w:tcPr>
          <w:p w14:paraId="4BD1F636" w14:textId="77777777" w:rsidR="00617EA7" w:rsidRDefault="00000000">
            <w:r>
              <w:rPr>
                <w:rFonts w:ascii="Calibri" w:hAnsi="Calibri"/>
                <w:sz w:val="20"/>
              </w:rPr>
              <w:t>Forward-Looking Risk Insights</w:t>
            </w:r>
          </w:p>
        </w:tc>
        <w:tc>
          <w:tcPr>
            <w:tcW w:w="4561" w:type="dxa"/>
          </w:tcPr>
          <w:p w14:paraId="50DF45F1" w14:textId="77777777" w:rsidR="00617EA7" w:rsidRDefault="00000000">
            <w:r>
              <w:rPr>
                <w:rFonts w:ascii="Calibri" w:hAnsi="Calibri"/>
                <w:sz w:val="20"/>
              </w:rPr>
              <w:t>Historical Pattern Recognition Engine with Predictive Shadow projections.</w:t>
            </w:r>
          </w:p>
        </w:tc>
      </w:tr>
      <w:tr w:rsidR="00617EA7" w14:paraId="56F1685B" w14:textId="77777777">
        <w:tc>
          <w:tcPr>
            <w:tcW w:w="4561" w:type="dxa"/>
          </w:tcPr>
          <w:p w14:paraId="0F2FC8A0" w14:textId="77777777" w:rsidR="00617EA7" w:rsidRDefault="00000000">
            <w:r>
              <w:rPr>
                <w:rFonts w:ascii="Calibri" w:hAnsi="Calibri"/>
                <w:sz w:val="20"/>
              </w:rPr>
              <w:t>Proactive Financial Planning</w:t>
            </w:r>
          </w:p>
        </w:tc>
        <w:tc>
          <w:tcPr>
            <w:tcW w:w="4561" w:type="dxa"/>
          </w:tcPr>
          <w:p w14:paraId="37306723" w14:textId="77777777" w:rsidR="00617EA7" w:rsidRDefault="00000000">
            <w:r>
              <w:rPr>
                <w:rFonts w:ascii="Calibri" w:hAnsi="Calibri"/>
                <w:sz w:val="20"/>
              </w:rPr>
              <w:t>Portfolio Optimizer and Algorithmic Backtester with Alpha measurement.</w:t>
            </w:r>
          </w:p>
        </w:tc>
      </w:tr>
      <w:tr w:rsidR="00617EA7" w14:paraId="208003C6" w14:textId="77777777">
        <w:tc>
          <w:tcPr>
            <w:tcW w:w="4561" w:type="dxa"/>
          </w:tcPr>
          <w:p w14:paraId="063D3F35" w14:textId="77777777" w:rsidR="00617EA7" w:rsidRDefault="00000000">
            <w:r>
              <w:rPr>
                <w:rFonts w:ascii="Calibri" w:hAnsi="Calibri"/>
                <w:sz w:val="20"/>
              </w:rPr>
              <w:t>Strategic Decision Support</w:t>
            </w:r>
          </w:p>
        </w:tc>
        <w:tc>
          <w:tcPr>
            <w:tcW w:w="4561" w:type="dxa"/>
          </w:tcPr>
          <w:p w14:paraId="76AE870D" w14:textId="77777777" w:rsidR="00617EA7" w:rsidRDefault="00000000">
            <w:r>
              <w:rPr>
                <w:rFonts w:ascii="Calibri" w:hAnsi="Calibri"/>
                <w:sz w:val="20"/>
              </w:rPr>
              <w:t>Executive Briefing Room AI chatbot and Sector War-Room competitor analysis.</w:t>
            </w:r>
          </w:p>
        </w:tc>
      </w:tr>
    </w:tbl>
    <w:p w14:paraId="6A1D74C1" w14:textId="77777777" w:rsidR="00617EA7" w:rsidRDefault="00617EA7"/>
    <w:p w14:paraId="0715084D" w14:textId="77777777" w:rsidR="00617EA7" w:rsidRDefault="00000000">
      <w:pPr>
        <w:pStyle w:val="Heading2"/>
      </w:pPr>
      <w:r>
        <w:rPr>
          <w:rFonts w:ascii="Calibri" w:hAnsi="Calibri"/>
          <w:color w:val="003366"/>
        </w:rPr>
        <w:t>5.2  Known Limitations</w:t>
      </w:r>
    </w:p>
    <w:p w14:paraId="4CEC32EF" w14:textId="77777777" w:rsidR="00617EA7" w:rsidRDefault="00000000">
      <w:pPr>
        <w:pStyle w:val="ListBullet"/>
        <w:spacing w:after="60"/>
      </w:pPr>
      <w:r>
        <w:rPr>
          <w:rFonts w:ascii="Calibri" w:hAnsi="Calibri"/>
          <w:b/>
        </w:rPr>
        <w:t xml:space="preserve">Data Source Dependency: </w:t>
      </w:r>
      <w:r>
        <w:rPr>
          <w:rFonts w:ascii="Calibri" w:hAnsi="Calibri"/>
        </w:rPr>
        <w:t>All market data is sourced from Yahoo Finance, which is subject to rate limiting and occasional data gaps. During off-market hours, some metrics (e.g., live options volume) will return zero or stale values.</w:t>
      </w:r>
    </w:p>
    <w:p w14:paraId="1C6AE72C" w14:textId="4263714F" w:rsidR="00617EA7" w:rsidRDefault="00000000">
      <w:pPr>
        <w:pStyle w:val="ListBullet"/>
        <w:spacing w:after="60"/>
      </w:pPr>
      <w:r>
        <w:rPr>
          <w:rFonts w:ascii="Calibri" w:hAnsi="Calibri"/>
          <w:b/>
        </w:rPr>
        <w:t xml:space="preserve">Simulated Geographic Data: </w:t>
      </w:r>
      <w:r>
        <w:rPr>
          <w:rFonts w:ascii="Calibri" w:hAnsi="Calibri"/>
        </w:rPr>
        <w:t xml:space="preserve">The geographic capital flow data in the Market Intelligence module is </w:t>
      </w:r>
      <w:r w:rsidR="00E05CE6">
        <w:rPr>
          <w:rFonts w:ascii="Calibri" w:hAnsi="Calibri"/>
        </w:rPr>
        <w:t>gener</w:t>
      </w:r>
      <w:r>
        <w:rPr>
          <w:rFonts w:ascii="Calibri" w:hAnsi="Calibri"/>
        </w:rPr>
        <w:t xml:space="preserve">ated </w:t>
      </w:r>
      <w:r w:rsidR="00E05CE6">
        <w:rPr>
          <w:rFonts w:ascii="Calibri" w:hAnsi="Calibri"/>
        </w:rPr>
        <w:t>algorithmically</w:t>
      </w:r>
      <w:r>
        <w:rPr>
          <w:rFonts w:ascii="Calibri" w:hAnsi="Calibri"/>
        </w:rPr>
        <w:t xml:space="preserve"> </w:t>
      </w:r>
      <w:r w:rsidR="00E05CE6">
        <w:rPr>
          <w:rFonts w:ascii="Calibri" w:hAnsi="Calibri"/>
        </w:rPr>
        <w:t>from</w:t>
      </w:r>
      <w:r>
        <w:rPr>
          <w:rFonts w:ascii="Calibri" w:hAnsi="Calibri"/>
        </w:rPr>
        <w:t xml:space="preserve"> real volume sizes. Stock exchanges </w:t>
      </w:r>
      <w:r w:rsidR="00E05CE6">
        <w:rPr>
          <w:rFonts w:ascii="Calibri" w:hAnsi="Calibri"/>
        </w:rPr>
        <w:t>are</w:t>
      </w:r>
      <w:r>
        <w:rPr>
          <w:rFonts w:ascii="Calibri" w:hAnsi="Calibri"/>
        </w:rPr>
        <w:t xml:space="preserve"> not legally </w:t>
      </w:r>
      <w:r w:rsidR="00E05CE6">
        <w:rPr>
          <w:rFonts w:ascii="Calibri" w:hAnsi="Calibri"/>
        </w:rPr>
        <w:t xml:space="preserve">required to </w:t>
      </w:r>
      <w:r>
        <w:rPr>
          <w:rFonts w:ascii="Calibri" w:hAnsi="Calibri"/>
        </w:rPr>
        <w:t>disclose the physical origin of individual orders.</w:t>
      </w:r>
    </w:p>
    <w:p w14:paraId="4C334F7C" w14:textId="77777777" w:rsidR="00617EA7" w:rsidRDefault="00000000">
      <w:pPr>
        <w:pStyle w:val="ListBullet"/>
        <w:spacing w:after="60"/>
      </w:pPr>
      <w:r>
        <w:rPr>
          <w:rFonts w:ascii="Calibri" w:hAnsi="Calibri"/>
          <w:b/>
        </w:rPr>
        <w:t xml:space="preserve">Linear Correlation Assumption: </w:t>
      </w:r>
      <w:r>
        <w:rPr>
          <w:rFonts w:ascii="Calibri" w:hAnsi="Calibri"/>
        </w:rPr>
        <w:t>Historical pattern recognition relies on Pearson Correlation, a linear similarity measure. Non-linear market patterns (e.g., volatility clustering) may be missed.</w:t>
      </w:r>
    </w:p>
    <w:p w14:paraId="677D3358" w14:textId="77777777" w:rsidR="00617EA7" w:rsidRDefault="00000000">
      <w:pPr>
        <w:pStyle w:val="Heading2"/>
      </w:pPr>
      <w:r>
        <w:rPr>
          <w:rFonts w:ascii="Calibri" w:hAnsi="Calibri"/>
          <w:color w:val="003366"/>
        </w:rPr>
        <w:t>5.3  Future Architecture Roadmap</w:t>
      </w:r>
    </w:p>
    <w:p w14:paraId="49279501" w14:textId="3B683130" w:rsidR="00617EA7" w:rsidRDefault="00000000">
      <w:pPr>
        <w:pStyle w:val="ListBullet"/>
        <w:spacing w:after="60"/>
      </w:pPr>
      <w:r>
        <w:rPr>
          <w:rFonts w:ascii="Calibri" w:hAnsi="Calibri"/>
          <w:b/>
        </w:rPr>
        <w:t xml:space="preserve">Real-Time Data Layer: </w:t>
      </w:r>
      <w:r>
        <w:rPr>
          <w:rFonts w:ascii="Calibri" w:hAnsi="Calibri"/>
        </w:rPr>
        <w:t xml:space="preserve">Replace </w:t>
      </w:r>
      <w:proofErr w:type="spellStart"/>
      <w:r w:rsidR="00E05CE6">
        <w:rPr>
          <w:rFonts w:ascii="Calibri" w:hAnsi="Calibri"/>
        </w:rPr>
        <w:t>yfinance's</w:t>
      </w:r>
      <w:proofErr w:type="spellEnd"/>
      <w:r>
        <w:rPr>
          <w:rFonts w:ascii="Calibri" w:hAnsi="Calibri"/>
        </w:rPr>
        <w:t xml:space="preserve"> REST polling with authenticated WebSocket connections to major exchange feeds for millisecond-level tick data.</w:t>
      </w:r>
    </w:p>
    <w:p w14:paraId="0E8C1FA2" w14:textId="77777777" w:rsidR="00617EA7" w:rsidRDefault="00000000">
      <w:pPr>
        <w:pStyle w:val="ListBullet"/>
        <w:spacing w:after="60"/>
      </w:pPr>
      <w:r>
        <w:rPr>
          <w:rFonts w:ascii="Calibri" w:hAnsi="Calibri"/>
          <w:b/>
        </w:rPr>
        <w:t xml:space="preserve">Persistent Data Storage: </w:t>
      </w:r>
      <w:r>
        <w:rPr>
          <w:rFonts w:ascii="Calibri" w:hAnsi="Calibri"/>
        </w:rPr>
        <w:t>Integrate PostgreSQL to persist custom portfolio configurations, historical backtest results, and executive notes across sessions.</w:t>
      </w:r>
    </w:p>
    <w:p w14:paraId="30A63C48" w14:textId="77777777" w:rsidR="00617EA7" w:rsidRDefault="00000000">
      <w:pPr>
        <w:pStyle w:val="ListBullet"/>
        <w:spacing w:after="60"/>
      </w:pPr>
      <w:r>
        <w:rPr>
          <w:rFonts w:ascii="Calibri" w:hAnsi="Calibri"/>
          <w:b/>
        </w:rPr>
        <w:t xml:space="preserve">Automated Execution Layer: </w:t>
      </w:r>
      <w:r>
        <w:rPr>
          <w:rFonts w:ascii="Calibri" w:hAnsi="Calibri"/>
        </w:rPr>
        <w:t>Connect the Capital Allocator engine directly to institutional brokerage APIs (e.g., Alpaca Markets) to enable one-click, algorithm-driven trade execution.</w:t>
      </w:r>
    </w:p>
    <w:p w14:paraId="746352FF" w14:textId="7237888F" w:rsidR="00617EA7" w:rsidRDefault="00000000">
      <w:pPr>
        <w:pStyle w:val="ListBullet"/>
        <w:spacing w:after="60"/>
      </w:pPr>
      <w:r>
        <w:rPr>
          <w:rFonts w:ascii="Calibri" w:hAnsi="Calibri"/>
          <w:b/>
        </w:rPr>
        <w:t>Cloud-Native Containeri</w:t>
      </w:r>
      <w:r w:rsidR="00E05CE6">
        <w:rPr>
          <w:rFonts w:ascii="Calibri" w:hAnsi="Calibri"/>
          <w:b/>
        </w:rPr>
        <w:t>z</w:t>
      </w:r>
      <w:r>
        <w:rPr>
          <w:rFonts w:ascii="Calibri" w:hAnsi="Calibri"/>
          <w:b/>
        </w:rPr>
        <w:t xml:space="preserve">ation: </w:t>
      </w:r>
      <w:r>
        <w:rPr>
          <w:rFonts w:ascii="Calibri" w:hAnsi="Calibri"/>
        </w:rPr>
        <w:t xml:space="preserve">Package the backend engines as independent </w:t>
      </w:r>
      <w:proofErr w:type="spellStart"/>
      <w:r>
        <w:rPr>
          <w:rFonts w:ascii="Calibri" w:hAnsi="Calibri"/>
        </w:rPr>
        <w:t>FastAPI</w:t>
      </w:r>
      <w:proofErr w:type="spellEnd"/>
      <w:r>
        <w:rPr>
          <w:rFonts w:ascii="Calibri" w:hAnsi="Calibri"/>
        </w:rPr>
        <w:t xml:space="preserve"> microservices and containeri</w:t>
      </w:r>
      <w:r w:rsidR="00E05CE6">
        <w:rPr>
          <w:rFonts w:ascii="Calibri" w:hAnsi="Calibri"/>
        </w:rPr>
        <w:t>z</w:t>
      </w:r>
      <w:r>
        <w:rPr>
          <w:rFonts w:ascii="Calibri" w:hAnsi="Calibri"/>
        </w:rPr>
        <w:t>e them via Docker for scalable cloud deployment on AWS ECS or Google Cloud Run.</w:t>
      </w:r>
    </w:p>
    <w:p w14:paraId="2173ED5C" w14:textId="77777777" w:rsidR="00617EA7" w:rsidRDefault="00617EA7">
      <w:pPr>
        <w:pBdr>
          <w:bottom w:val="single" w:sz="6" w:space="1" w:color="003366"/>
        </w:pBdr>
        <w:spacing w:before="40" w:after="120"/>
      </w:pPr>
    </w:p>
    <w:p w14:paraId="7765AB79" w14:textId="5601645B" w:rsidR="00617EA7" w:rsidRDefault="00000000">
      <w:pPr>
        <w:jc w:val="center"/>
      </w:pPr>
      <w:r>
        <w:rPr>
          <w:rFonts w:ascii="Calibri" w:hAnsi="Calibri"/>
          <w:i/>
          <w:color w:val="888888"/>
          <w:sz w:val="18"/>
        </w:rPr>
        <w:t xml:space="preserve">Zentai Networks Capstone Project Report | May 08, 2026 </w:t>
      </w:r>
      <w:r w:rsidR="00E05CE6">
        <w:rPr>
          <w:rFonts w:ascii="Calibri" w:hAnsi="Calibri"/>
          <w:i/>
          <w:color w:val="888888"/>
          <w:sz w:val="18"/>
        </w:rPr>
        <w:t>/ Smit Bhabal</w:t>
      </w:r>
    </w:p>
    <w:sectPr w:rsidR="00617EA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441141">
    <w:abstractNumId w:val="8"/>
  </w:num>
  <w:num w:numId="2" w16cid:durableId="1862625090">
    <w:abstractNumId w:val="6"/>
  </w:num>
  <w:num w:numId="3" w16cid:durableId="512575460">
    <w:abstractNumId w:val="5"/>
  </w:num>
  <w:num w:numId="4" w16cid:durableId="1830290497">
    <w:abstractNumId w:val="4"/>
  </w:num>
  <w:num w:numId="5" w16cid:durableId="1617442027">
    <w:abstractNumId w:val="7"/>
  </w:num>
  <w:num w:numId="6" w16cid:durableId="2036999209">
    <w:abstractNumId w:val="3"/>
  </w:num>
  <w:num w:numId="7" w16cid:durableId="818227016">
    <w:abstractNumId w:val="2"/>
  </w:num>
  <w:num w:numId="8" w16cid:durableId="1669550496">
    <w:abstractNumId w:val="1"/>
  </w:num>
  <w:num w:numId="9" w16cid:durableId="156417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EA7"/>
    <w:rsid w:val="00AA1D8D"/>
    <w:rsid w:val="00B47730"/>
    <w:rsid w:val="00CB0664"/>
    <w:rsid w:val="00DE630E"/>
    <w:rsid w:val="00E05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583BE"/>
  <w14:defaultImageDpi w14:val="300"/>
  <w15:docId w15:val="{406CE250-21D0-0041-BB71-D0085A9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 Bhabal</cp:lastModifiedBy>
  <cp:revision>2</cp:revision>
  <dcterms:created xsi:type="dcterms:W3CDTF">2013-12-23T23:15:00Z</dcterms:created>
  <dcterms:modified xsi:type="dcterms:W3CDTF">2026-05-08T21:06:00Z</dcterms:modified>
  <cp:category/>
</cp:coreProperties>
</file>