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535768" w:rsidRDefault="00F046D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535768" w:rsidRDefault="00F046D0">
      <w:r>
        <w:t>Документ описывает потоки передачи информации между учетной  системой (далее КИС) и b2b, структуру сообщений и типы данных.</w:t>
      </w:r>
    </w:p>
    <w:p w:rsidR="00535768" w:rsidRDefault="00F046D0"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535768" w:rsidRDefault="00F046D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535768" w:rsidRDefault="00F046D0">
      <w:pPr>
        <w:spacing w:line="276" w:lineRule="auto"/>
        <w:jc w:val="both"/>
      </w:pPr>
      <w:r>
        <w:t>Подходом при реализации обмена является: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535768" w:rsidRDefault="00F046D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535768" w:rsidRDefault="00F046D0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535768" w:rsidRDefault="00F046D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535768" w:rsidRDefault="00F046D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и  описание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535768" w:rsidRDefault="00F046D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535768" w:rsidRDefault="00F046D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535768" w:rsidRDefault="00F046D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535768" w:rsidRDefault="00F046D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535768" w:rsidRDefault="00F046D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535768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29371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29371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535768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535768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535768" w:rsidRDefault="00535768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35768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535768" w:rsidRDefault="00F046D0">
      <w:pPr>
        <w:ind w:firstLine="0"/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535768" w:rsidRDefault="00F046D0">
      <w:r>
        <w:t>Пространство имен для XSD http://b2b.rubezh.ru/</w:t>
      </w:r>
    </w:p>
    <w:p w:rsidR="00535768" w:rsidRDefault="00F046D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535768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F046D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ind w:firstLine="0"/>
              <w:rPr>
                <w:sz w:val="20"/>
              </w:rPr>
            </w:pPr>
            <w:proofErr w:type="spellStart"/>
            <w:r w:rsidRPr="00F046D0"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535768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535768" w:rsidRDefault="00F046D0">
      <w:pPr>
        <w:ind w:firstLine="0"/>
        <w:rPr>
          <w:b/>
        </w:rPr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пакетов</w:t>
      </w:r>
    </w:p>
    <w:p w:rsidR="00535768" w:rsidRDefault="00F046D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</w:tbl>
    <w:p w:rsidR="00535768" w:rsidRDefault="00F046D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535768" w:rsidRDefault="00F046D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535768" w:rsidRDefault="00F046D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535768" w:rsidRDefault="00F046D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535768" w:rsidRDefault="00F046D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535768" w:rsidRDefault="00F046D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535768" w:rsidRDefault="00F046D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535768" w:rsidRDefault="00F046D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535768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535768" w:rsidRDefault="00F046D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535768" w:rsidRDefault="00F046D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535768" w:rsidRDefault="00F046D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535768" w:rsidRDefault="00F046D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535768" w:rsidRDefault="00F046D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Сущность: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Заказ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Оплата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535768" w:rsidRDefault="00F046D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535768" w:rsidRDefault="00F046D0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535768" w:rsidRDefault="00F046D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535768" w:rsidRDefault="00535768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535768" w:rsidRDefault="00F046D0" w:rsidP="00F046D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???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5C14F8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C14F8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Условия эксплуатации</w:t>
            </w:r>
            <w:r>
              <w:t>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нормальные условия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люминесцентные светильники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подвесной потолок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коридор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5 – без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6 – не указаны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10 – высокая влажность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11 – высокая температура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12 – мелкодисперсная пыль</w:t>
            </w:r>
          </w:p>
          <w:p w:rsidR="005C14F8" w:rsidRPr="005C14F8" w:rsidRDefault="005C14F8" w:rsidP="00F046D0">
            <w:pPr>
              <w:spacing w:after="0" w:line="240" w:lineRule="auto"/>
              <w:ind w:firstLine="0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5C14F8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Срок эксплуатации</w:t>
            </w:r>
            <w:r>
              <w:t xml:space="preserve"> после установки.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0 – неисправность обнаружена сразу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в течение 1-го года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от 1 года до 2 лет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более 2-х лет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Вид</w:t>
            </w:r>
            <w:r>
              <w:t xml:space="preserve"> о</w:t>
            </w:r>
            <w:r w:rsidRPr="00A963EB">
              <w:t>бъекта</w:t>
            </w:r>
            <w:r>
              <w:t xml:space="preserve"> э</w:t>
            </w:r>
            <w:r w:rsidRPr="00A963EB">
              <w:t>ксплуатации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административное (офисное)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гостиничный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жилое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объект Минздрава (больницы)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объект Минобразования (школы, д/с)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организация общественного питания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продовольственный гипермаркет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производственный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торговый центр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специфичный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11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Характеристика</w:t>
            </w:r>
            <w:r>
              <w:t xml:space="preserve"> н</w:t>
            </w:r>
            <w:r w:rsidRPr="00A963EB">
              <w:t>еисправности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не работает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ложное срабатывание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повреждение корпуса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отсутствует индикация (не работает светодиод)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не включается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не работает от 220 В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неисправность АЛС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нет связи с ППКП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нет напряжения на выходе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другое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5C14F8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 w:rsidRPr="00A963EB"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 w:rsidRPr="00A963EB"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A963EB" w:rsidRDefault="00A963EB" w:rsidP="00A963EB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963EB" w:rsidRDefault="00A963EB" w:rsidP="0050024F">
            <w:pPr>
              <w:spacing w:after="0" w:line="240" w:lineRule="auto"/>
              <w:ind w:firstLine="0"/>
              <w:jc w:val="center"/>
            </w:pP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50024F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A963EB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???</w:t>
            </w:r>
          </w:p>
        </w:tc>
      </w:tr>
    </w:tbl>
    <w:p w:rsidR="00535768" w:rsidRDefault="0029371C" w:rsidP="0029371C">
      <w:pPr>
        <w:pStyle w:val="2"/>
      </w:pPr>
      <w:proofErr w:type="spellStart"/>
      <w:r w:rsidRPr="0029371C"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9371C" w:rsidRDefault="0029371C" w:rsidP="00AA1D42">
            <w:pPr>
              <w:spacing w:after="0" w:line="240" w:lineRule="auto"/>
              <w:ind w:firstLine="0"/>
              <w:jc w:val="center"/>
            </w:pP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Pr="00A963EB" w:rsidRDefault="0029371C" w:rsidP="0029371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СамовывозСоСкладаВМоскве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СамовывозСоСкладаВСаратове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r w:rsidRPr="0029371C">
              <w:t>ОтправитьТранспортнойКомпанией</w:t>
            </w:r>
            <w:bookmarkStart w:id="3" w:name="_GoBack"/>
            <w:bookmarkEnd w:id="3"/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</w:tr>
    </w:tbl>
    <w:p w:rsidR="0029371C" w:rsidRPr="0029371C" w:rsidRDefault="0029371C" w:rsidP="0029371C"/>
    <w:p w:rsidR="00535768" w:rsidRDefault="00F046D0">
      <w:pPr>
        <w:pStyle w:val="1"/>
        <w:rPr>
          <w:b/>
        </w:rPr>
      </w:pPr>
      <w:r>
        <w:rPr>
          <w:b/>
        </w:rPr>
        <w:t>ПримечаниЯ</w:t>
      </w:r>
    </w:p>
    <w:p w:rsidR="00535768" w:rsidRDefault="00535768">
      <w:pPr>
        <w:ind w:firstLine="0"/>
      </w:pPr>
    </w:p>
    <w:p w:rsidR="00535768" w:rsidRDefault="00F046D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535768" w:rsidRDefault="00535768">
      <w:pPr>
        <w:ind w:firstLine="0"/>
      </w:pPr>
    </w:p>
    <w:sectPr w:rsidR="0053576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68"/>
    <w:rsid w:val="0029371C"/>
    <w:rsid w:val="00535768"/>
    <w:rsid w:val="005C14F8"/>
    <w:rsid w:val="00A963EB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21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11</cp:revision>
  <dcterms:created xsi:type="dcterms:W3CDTF">2024-03-21T05:22:00Z</dcterms:created>
  <dcterms:modified xsi:type="dcterms:W3CDTF">2024-04-04T00:42:00Z</dcterms:modified>
</cp:coreProperties>
</file>