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物流管理</w:t>
      </w:r>
    </w:p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物流服务种类</w:t>
      </w:r>
    </w:p>
    <w:p>
      <w:pPr>
        <w:bidi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种类：普通物流、同城配送、门店自提</w:t>
      </w:r>
    </w:p>
    <w:p>
      <w:pPr>
        <w:pStyle w:val="3"/>
        <w:bidi w:val="0"/>
        <w:spacing w:before="0" w:after="0" w:line="240" w:lineRule="auto"/>
      </w:pPr>
      <w:r>
        <w:rPr>
          <w:rFonts w:hint="eastAsia"/>
          <w:lang w:val="en-US" w:eastAsia="zh-CN"/>
        </w:rPr>
        <w:t>一、普通物流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快递公司：基于小件货物或单价货物较多，上门取货，送货到家。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物流公司：一般基于大件或货物数量较多，以重量计费。</w:t>
      </w:r>
    </w:p>
    <w:p>
      <w:pPr>
        <w:pStyle w:val="3"/>
        <w:numPr>
          <w:ilvl w:val="0"/>
          <w:numId w:val="3"/>
        </w:numPr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同城配送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主要针对时效性要求较强的用户，适用于水果、生鲜、外卖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spacing w:before="0" w:after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门店自提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四、运费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79545" cy="1166495"/>
            <wp:effectExtent l="0" t="0" r="19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前台物流管理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用户关心物流方式和运费，所以需考虑：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那种物流方式？哪些区域？那些商品支持？收费标准？</w:t>
      </w:r>
    </w:p>
    <w:p>
      <w:pPr>
        <w:pStyle w:val="3"/>
        <w:numPr>
          <w:ilvl w:val="0"/>
          <w:numId w:val="4"/>
        </w:numPr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运费模板</w:t>
      </w:r>
    </w:p>
    <w:p>
      <w:pPr>
        <w:numPr>
          <w:numId w:val="0"/>
        </w:numPr>
      </w:pPr>
      <w:r>
        <w:drawing>
          <wp:inline distT="0" distB="0" distL="114300" distR="114300">
            <wp:extent cx="4878705" cy="2850515"/>
            <wp:effectExtent l="0" t="0" r="17145" b="698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店铺运费</w:t>
      </w:r>
    </w:p>
    <w:p>
      <w:pPr>
        <w:numPr>
          <w:numId w:val="0"/>
        </w:numPr>
        <w:ind w:left="420" w:leftChars="0"/>
        <w:jc w:val="left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618990" cy="3042920"/>
            <wp:effectExtent l="0" t="0" r="10160" b="508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单品运费</w:t>
      </w: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391660" cy="3198495"/>
            <wp:effectExtent l="0" t="0" r="8890" b="1905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混合运费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计算运费：店铺运费与单品运费同时生效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前端运费展示根据默认的运费模板来计算运费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前端物流模块还需管理退货地址(用户寄往的地址)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br w:type="page"/>
      </w:r>
      <w:bookmarkStart w:id="0" w:name="_GoBack"/>
      <w:bookmarkEnd w:id="0"/>
    </w:p>
    <w:p>
      <w:pPr>
        <w:pStyle w:val="2"/>
        <w:numPr>
          <w:numId w:val="0"/>
        </w:numPr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三、后端物流管理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2405" cy="746125"/>
            <wp:effectExtent l="0" t="0" r="4445" b="15875"/>
            <wp:docPr id="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74DB1F"/>
    <w:multiLevelType w:val="singleLevel"/>
    <w:tmpl w:val="8774DB1F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387BBA8"/>
    <w:multiLevelType w:val="singleLevel"/>
    <w:tmpl w:val="A387BBA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E0ACC89"/>
    <w:multiLevelType w:val="singleLevel"/>
    <w:tmpl w:val="AE0ACC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7A022F8"/>
    <w:multiLevelType w:val="singleLevel"/>
    <w:tmpl w:val="C7A022F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4E8BDC3F"/>
    <w:multiLevelType w:val="singleLevel"/>
    <w:tmpl w:val="4E8BDC3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7866B96"/>
    <w:multiLevelType w:val="singleLevel"/>
    <w:tmpl w:val="77866B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44EFE"/>
    <w:rsid w:val="2214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2019-08-17T06:42:00Z</dcterms:created>
  <dc:creator>Smith_liu</dc:creator>
  <cp:lastModifiedBy>Smith_liu</cp:lastModifiedBy>
  <dcterms:modified xsi:type="dcterms:W3CDTF">2019-08-17T07:25:34Z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