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1624BF" w:rsidRDefault="00E7398B">
      <w:r>
        <w:t xml:space="preserve">1. </w:t>
      </w:r>
      <w:r w:rsidR="001066A3">
        <w:t>Data from Blanca’s datasheet (30cm) were averaged from 2 depths (</w:t>
      </w:r>
      <w:r w:rsidR="00A01D8A">
        <w:t>0-10cm and 10</w:t>
      </w:r>
      <w:r w:rsidR="001066A3">
        <w:t>-30cm)</w:t>
      </w:r>
      <w:r>
        <w:t xml:space="preserve"> from Table 2 (page 858).</w:t>
      </w:r>
    </w:p>
    <w:p w:rsidR="00147229" w:rsidRDefault="00147229" w:rsidP="00147229">
      <w:r>
        <w:t>The paper does not report carbon density directly. We calculated carbon density from Table 2, which reported percent organic carbon and bulk density, but not carbon pool.</w:t>
      </w:r>
    </w:p>
    <w:p w:rsidR="00147229" w:rsidRDefault="00147229">
      <w:bookmarkStart w:id="0" w:name="_GoBack"/>
      <w:bookmarkEnd w:id="0"/>
    </w:p>
    <w:p w:rsidR="00E7398B" w:rsidRDefault="00E7398B">
      <w:r>
        <w:t>Soil C pool = Bulk density * C%.</w:t>
      </w:r>
    </w:p>
    <w:p w:rsidR="00E7398B" w:rsidRDefault="00E7398B">
      <w:r>
        <w:rPr>
          <w:noProof/>
        </w:rPr>
        <w:drawing>
          <wp:inline distT="0" distB="0" distL="0" distR="0">
            <wp:extent cx="5932805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066A3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22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4BF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3F78D8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1D8A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398B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994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274</Characters>
  <Application>Microsoft Office Word</Application>
  <DocSecurity>0</DocSecurity>
  <Lines>2</Lines>
  <Paragraphs>1</Paragraphs>
  <ScaleCrop>false</ScaleCrop>
  <Company>Smithsonian Institution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2017-09-26T19:28:00Z</dcterms:modified>
</cp:coreProperties>
</file>