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0A346F" w:rsidRDefault="005D6794">
      <w:r>
        <w:t>1. Aboveground and belowground biomass rate were from text in the Abstract.</w:t>
      </w:r>
    </w:p>
    <w:p w:rsidR="005D6794" w:rsidRPr="000A346F" w:rsidRDefault="005D6794">
      <w:r>
        <w:rPr>
          <w:noProof/>
        </w:rPr>
        <w:drawing>
          <wp:inline distT="0" distB="0" distL="0" distR="0">
            <wp:extent cx="5943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794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6794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B6E1F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4D91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68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12</cp:revision>
  <dcterms:created xsi:type="dcterms:W3CDTF">2016-06-29T19:57:00Z</dcterms:created>
  <dcterms:modified xsi:type="dcterms:W3CDTF">2017-09-26T21:01:00Z</dcterms:modified>
</cp:coreProperties>
</file>