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D78DB5">
      <w:pPr>
        <w:pStyle w:val="2"/>
        <w:keepNext w:val="0"/>
        <w:keepLines w:val="0"/>
        <w:widowControl/>
        <w:suppressLineNumbers w:val="0"/>
      </w:pPr>
      <w:r>
        <w:t>Publications Page</w:t>
      </w:r>
    </w:p>
    <w:p w14:paraId="78A03C7E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Publications</w:t>
      </w:r>
      <w:r>
        <w:t xml:space="preserve"> page should </w:t>
      </w:r>
      <w:r>
        <w:rPr>
          <w:rStyle w:val="8"/>
        </w:rPr>
        <w:t>not</w:t>
      </w:r>
      <w:r>
        <w:t xml:space="preserve"> be presented as a simple list of downloadable PDFs.</w:t>
      </w:r>
    </w:p>
    <w:p w14:paraId="6D330CE4">
      <w:pPr>
        <w:pStyle w:val="7"/>
        <w:keepNext w:val="0"/>
        <w:keepLines w:val="0"/>
        <w:widowControl/>
        <w:suppressLineNumbers w:val="0"/>
      </w:pPr>
      <w:r>
        <w:t xml:space="preserve">Instead, it should resemble the publications section of a </w:t>
      </w:r>
      <w:r>
        <w:rPr>
          <w:rStyle w:val="8"/>
        </w:rPr>
        <w:t>university press or research institute</w:t>
      </w:r>
      <w:r>
        <w:t>, showcasing the Gurukulam's scholarship in a clean, elegant, and easily navigable format.</w:t>
      </w:r>
    </w:p>
    <w:p w14:paraId="0D92C775">
      <w:pPr>
        <w:pStyle w:val="7"/>
        <w:keepNext w:val="0"/>
        <w:keepLines w:val="0"/>
        <w:widowControl/>
        <w:suppressLineNumbers w:val="0"/>
      </w:pPr>
      <w:r>
        <w:t xml:space="preserve">Each publication should be displayed as an individual </w:t>
      </w:r>
      <w:r>
        <w:rPr>
          <w:rStyle w:val="8"/>
        </w:rPr>
        <w:t>Publication Card</w:t>
      </w:r>
      <w:r>
        <w:t xml:space="preserve"> containing:</w:t>
      </w:r>
    </w:p>
    <w:p w14:paraId="75EAD9C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Cover image</w:t>
      </w:r>
    </w:p>
    <w:p w14:paraId="6F1BD4D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Publication Series</w:t>
      </w:r>
    </w:p>
    <w:p w14:paraId="0C4BB49D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>Title</w:t>
      </w:r>
    </w:p>
    <w:p w14:paraId="4995785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t xml:space="preserve">Brief web abstract </w:t>
      </w:r>
    </w:p>
    <w:p w14:paraId="060D9FF1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</w:pPr>
      <w:r>
        <w:rPr>
          <w:rStyle w:val="8"/>
        </w:rPr>
        <w:t>Download PDF</w:t>
      </w:r>
      <w:r>
        <w:t xml:space="preserve"> button</w:t>
      </w:r>
    </w:p>
    <w:p w14:paraId="36ECBA31">
      <w:pPr>
        <w:pStyle w:val="7"/>
        <w:keepNext w:val="0"/>
        <w:keepLines w:val="0"/>
        <w:widowControl/>
        <w:suppressLineNumbers w:val="0"/>
      </w:pPr>
      <w:r>
        <w:t>Please use the following hierarchy and structure.</w:t>
      </w:r>
    </w:p>
    <w:p w14:paraId="7E30A47D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4172C6">
      <w:pPr>
        <w:pStyle w:val="2"/>
        <w:keepNext w:val="0"/>
        <w:keepLines w:val="0"/>
        <w:widowControl/>
        <w:suppressLineNumbers w:val="0"/>
      </w:pPr>
      <w:r>
        <w:t>Publications</w:t>
      </w:r>
    </w:p>
    <w:p w14:paraId="5CBF2A4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 growing body of research and reflection emerging from the work of Nāṭyaśāstra Gurukulam, spanning aesthetics, pedagogy, civilisational studies, governance, leadership, and public life.</w:t>
      </w:r>
    </w:p>
    <w:p w14:paraId="14935813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A5C30D">
      <w:pPr>
        <w:pStyle w:val="2"/>
        <w:keepNext w:val="0"/>
        <w:keepLines w:val="0"/>
        <w:widowControl/>
        <w:suppressLineNumbers w:val="0"/>
      </w:pPr>
      <w:r>
        <w:t>I. Civilisational Statecraft Series</w:t>
      </w:r>
    </w:p>
    <w:p w14:paraId="1E0BE73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 series of working papers exploring governance, constitutionalism, technology, international relations, ethics, and institutional design through a Dhārmic civilisational framework.</w:t>
      </w:r>
    </w:p>
    <w:p w14:paraId="6DA87FBC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136EC">
      <w:pPr>
        <w:pStyle w:val="3"/>
        <w:keepNext w:val="0"/>
        <w:keepLines w:val="0"/>
        <w:widowControl/>
        <w:suppressLineNumbers w:val="0"/>
      </w:pPr>
      <w:r>
        <w:t>Working Paper I</w:t>
      </w:r>
    </w:p>
    <w:p w14:paraId="01C62243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The Dharma of Middle Powers</w:t>
      </w:r>
    </w:p>
    <w:p w14:paraId="2E8AD6E5">
      <w:pPr>
        <w:pStyle w:val="7"/>
        <w:keepNext w:val="0"/>
        <w:keepLines w:val="0"/>
        <w:widowControl/>
        <w:suppressLineNumbers w:val="0"/>
      </w:pPr>
      <w:r>
        <w:t>As the international system becomes increasingly multipolar, this paper explores how restraint, proportion, and responsibility can provide a more stable basis for statecraft. It argues that disciplined power—not merely accumulated power—is essential for sustaining long-term equilibrium.</w:t>
      </w:r>
    </w:p>
    <w:p w14:paraId="4B0D64B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7EE4AA03">
      <w:pPr>
        <w:keepNext w:val="0"/>
        <w:keepLines w:val="0"/>
        <w:widowControl/>
        <w:suppressLineNumbers w:val="0"/>
      </w:pPr>
      <w: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A0B6AB">
      <w:pPr>
        <w:pStyle w:val="3"/>
        <w:keepNext w:val="0"/>
        <w:keepLines w:val="0"/>
        <w:widowControl/>
        <w:suppressLineNumbers w:val="0"/>
      </w:pPr>
      <w:r>
        <w:t>Working Paper II</w:t>
      </w:r>
    </w:p>
    <w:p w14:paraId="7214464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Dharma and the Architecture of Liberty: Ethical Order and Constitutional Order in Federal Democracies</w:t>
      </w:r>
    </w:p>
    <w:p w14:paraId="4D68D83B">
      <w:pPr>
        <w:pStyle w:val="7"/>
        <w:keepNext w:val="0"/>
        <w:keepLines w:val="0"/>
        <w:widowControl/>
        <w:suppressLineNumbers w:val="0"/>
      </w:pPr>
      <w:r>
        <w:t>Examines the relationship between constitutional order and Dhārmic ethics, proposing a framework in which liberty, responsibility, and institutional legitimacy reinforce one another.</w:t>
      </w:r>
    </w:p>
    <w:p w14:paraId="1FD0B1A6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084E693F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DE4163">
      <w:pPr>
        <w:pStyle w:val="3"/>
        <w:keepNext w:val="0"/>
        <w:keepLines w:val="0"/>
        <w:widowControl/>
        <w:suppressLineNumbers w:val="0"/>
      </w:pPr>
      <w:r>
        <w:t>Working Paper III</w:t>
      </w:r>
    </w:p>
    <w:p w14:paraId="2B3C4F9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Good Governance for Growth in Africa: Beyond the Western-Chinese Binary</w:t>
      </w:r>
    </w:p>
    <w:p w14:paraId="52CFDC5E">
      <w:pPr>
        <w:pStyle w:val="7"/>
        <w:keepNext w:val="0"/>
        <w:keepLines w:val="0"/>
        <w:widowControl/>
        <w:suppressLineNumbers w:val="0"/>
      </w:pPr>
      <w:r>
        <w:t>Explores an alternative developmental framework rooted in ethical governance and institutional capacity, offering a Dhārmic perspective beyond prevailing geopolitical models.</w:t>
      </w:r>
    </w:p>
    <w:p w14:paraId="20E9C2B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0DE48D19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40599C">
      <w:pPr>
        <w:pStyle w:val="3"/>
        <w:keepNext w:val="0"/>
        <w:keepLines w:val="0"/>
        <w:widowControl/>
        <w:suppressLineNumbers w:val="0"/>
      </w:pPr>
      <w:r>
        <w:t>Working Paper IV</w:t>
      </w:r>
    </w:p>
    <w:p w14:paraId="4B55B077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Beyond Control: Alignment, Dharma and the Future of Intelligent Civilisation</w:t>
      </w:r>
    </w:p>
    <w:p w14:paraId="2B637A80">
      <w:pPr>
        <w:pStyle w:val="7"/>
        <w:keepNext w:val="0"/>
        <w:keepLines w:val="0"/>
        <w:widowControl/>
        <w:suppressLineNumbers w:val="0"/>
      </w:pPr>
      <w:r>
        <w:t>Examines Artificial Intelligence through the lens of Dharma, arguing that alignment requires ethical orientation rather than technological control alone.</w:t>
      </w:r>
    </w:p>
    <w:p w14:paraId="6004DE1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3C32751F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3E2263">
      <w:pPr>
        <w:pStyle w:val="3"/>
        <w:keepNext w:val="0"/>
        <w:keepLines w:val="0"/>
        <w:widowControl/>
        <w:suppressLineNumbers w:val="0"/>
      </w:pPr>
      <w:r>
        <w:t>Working Paper V</w:t>
      </w:r>
    </w:p>
    <w:p w14:paraId="637C459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Moral Legitimacy in War: From Justification to Dharmic Alignment</w:t>
      </w:r>
    </w:p>
    <w:p w14:paraId="5B7DCE57">
      <w:pPr>
        <w:pStyle w:val="7"/>
        <w:keepNext w:val="0"/>
        <w:keepLines w:val="0"/>
        <w:widowControl/>
        <w:suppressLineNumbers w:val="0"/>
      </w:pPr>
      <w:r>
        <w:t>Reconsiders the ethics of warfare by moving beyond traditional just war theory towards principles of Dhārmic legitimacy and restraint.</w:t>
      </w:r>
    </w:p>
    <w:p w14:paraId="57542AE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021ACCD9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7C19DF">
      <w:pPr>
        <w:pStyle w:val="3"/>
        <w:keepNext w:val="0"/>
        <w:keepLines w:val="0"/>
        <w:widowControl/>
        <w:suppressLineNumbers w:val="0"/>
      </w:pPr>
      <w:r>
        <w:t>Working Paper VI</w:t>
      </w:r>
    </w:p>
    <w:p w14:paraId="55211472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A Systems Theory of Social Order: Rethinking Unity, Diversity, and Dharma</w:t>
      </w:r>
    </w:p>
    <w:p w14:paraId="3B95881B">
      <w:pPr>
        <w:pStyle w:val="7"/>
        <w:keepNext w:val="0"/>
        <w:keepLines w:val="0"/>
        <w:widowControl/>
        <w:suppressLineNumbers w:val="0"/>
      </w:pPr>
      <w:r>
        <w:t>Develops a systems-based understanding of social order through the integrating principles of Dharma, pluralism, and civilisational equilibrium.</w:t>
      </w:r>
    </w:p>
    <w:p w14:paraId="5B48088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3473E73A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A62770">
      <w:pPr>
        <w:pStyle w:val="3"/>
        <w:keepNext w:val="0"/>
        <w:keepLines w:val="0"/>
        <w:widowControl/>
        <w:suppressLineNumbers w:val="0"/>
      </w:pPr>
      <w:r>
        <w:t>Working Paper VII</w:t>
      </w:r>
    </w:p>
    <w:p w14:paraId="50C47B2C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Dharmic Ordering of the Cosmic Commons: Statecraft, Legitimacy, and Equilibrium in the New Space Age</w:t>
      </w:r>
    </w:p>
    <w:p w14:paraId="46FB89F8">
      <w:pPr>
        <w:pStyle w:val="7"/>
        <w:keepNext w:val="0"/>
        <w:keepLines w:val="0"/>
        <w:widowControl/>
        <w:suppressLineNumbers w:val="0"/>
      </w:pPr>
      <w:r>
        <w:t>Explores outer space governance through a civilisational lens, proposing a Dhārmic framework for stewardship of the cosmic commons.</w:t>
      </w:r>
    </w:p>
    <w:p w14:paraId="5898BCC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15A1E3A1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3839FE">
      <w:pPr>
        <w:pStyle w:val="3"/>
        <w:keepNext w:val="0"/>
        <w:keepLines w:val="0"/>
        <w:widowControl/>
        <w:suppressLineNumbers w:val="0"/>
      </w:pPr>
      <w:r>
        <w:t>Working Paper VIII</w:t>
      </w:r>
    </w:p>
    <w:p w14:paraId="6D4AF2F8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Making Democracy More Governable: Dharma Rājyam and the Post-Liberal Crisis</w:t>
      </w:r>
    </w:p>
    <w:p w14:paraId="3765FFAB">
      <w:pPr>
        <w:pStyle w:val="7"/>
        <w:keepNext w:val="0"/>
        <w:keepLines w:val="0"/>
        <w:widowControl/>
        <w:suppressLineNumbers w:val="0"/>
      </w:pPr>
      <w:r>
        <w:t>Examines the limitations of contemporary democratic models and proposes Dharma Rājyam as a framework for more resilient governance.</w:t>
      </w:r>
    </w:p>
    <w:p w14:paraId="4D63EAF1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1833F4D4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9C9253">
      <w:pPr>
        <w:pStyle w:val="3"/>
        <w:keepNext w:val="0"/>
        <w:keepLines w:val="0"/>
        <w:widowControl/>
        <w:suppressLineNumbers w:val="0"/>
      </w:pPr>
      <w:r>
        <w:t>Working Paper IX</w:t>
      </w:r>
    </w:p>
    <w:p w14:paraId="5291439E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Order from Within: Dharma Rājyam and the Principles of Endogenous Governance</w:t>
      </w:r>
    </w:p>
    <w:p w14:paraId="61489200">
      <w:pPr>
        <w:pStyle w:val="7"/>
        <w:keepNext w:val="0"/>
        <w:keepLines w:val="0"/>
        <w:widowControl/>
        <w:suppressLineNumbers w:val="0"/>
      </w:pPr>
      <w:r>
        <w:t>Argues that sustainable governance emerges from internally cultivated ethical order rather than externally imposed systems.</w:t>
      </w:r>
    </w:p>
    <w:p w14:paraId="222E01E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45435AF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5AA85F">
      <w:pPr>
        <w:pStyle w:val="3"/>
        <w:keepNext w:val="0"/>
        <w:keepLines w:val="0"/>
        <w:widowControl/>
        <w:suppressLineNumbers w:val="0"/>
      </w:pPr>
      <w:r>
        <w:t>Working Paper X</w:t>
      </w:r>
    </w:p>
    <w:p w14:paraId="6C7800E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Dharma: From Discipline to Participation – A Civilisational Theory of Sustenance</w:t>
      </w:r>
    </w:p>
    <w:p w14:paraId="4C52C968">
      <w:pPr>
        <w:pStyle w:val="7"/>
        <w:keepNext w:val="0"/>
        <w:keepLines w:val="0"/>
        <w:widowControl/>
        <w:suppressLineNumbers w:val="0"/>
      </w:pPr>
      <w:r>
        <w:t>Explores Dharma as a participatory principle that sustains individuals, institutions, and civilisation across time.</w:t>
      </w:r>
    </w:p>
    <w:p w14:paraId="5F0F9E5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56EE59CD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DDC844">
      <w:pPr>
        <w:pStyle w:val="2"/>
        <w:keepNext w:val="0"/>
        <w:keepLines w:val="0"/>
        <w:widowControl/>
        <w:suppressLineNumbers w:val="0"/>
      </w:pPr>
      <w:r>
        <w:t>II. Research Programme – Civilisational Governance</w:t>
      </w:r>
    </w:p>
    <w:p w14:paraId="4A2ADB2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 long-term research programme developing the Dharma Doctrine of Disciplined Equilibrium and its applications across governance, corporations, institutions, and civic life.</w:t>
      </w:r>
    </w:p>
    <w:p w14:paraId="09249D4B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2C73B0">
      <w:pPr>
        <w:pStyle w:val="3"/>
        <w:keepNext w:val="0"/>
        <w:keepLines w:val="0"/>
        <w:widowControl/>
        <w:suppressLineNumbers w:val="0"/>
      </w:pPr>
      <w:r>
        <w:t>CG-01</w:t>
      </w:r>
    </w:p>
    <w:p w14:paraId="7E6F949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The Dharma Doctrine of Disciplined Equilibrium: A Four-Domain Governance Framework</w:t>
      </w:r>
    </w:p>
    <w:p w14:paraId="1C327BAC">
      <w:pPr>
        <w:pStyle w:val="7"/>
        <w:keepNext w:val="0"/>
        <w:keepLines w:val="0"/>
        <w:widowControl/>
        <w:suppressLineNumbers w:val="0"/>
      </w:pPr>
      <w:r>
        <w:t>Introduces the foundational governance doctrine underpinning the Gurukulam's research programme, integrating public, corporate, institutional, and civic domains.</w:t>
      </w:r>
    </w:p>
    <w:p w14:paraId="71A3431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131B9A89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016C96">
      <w:pPr>
        <w:pStyle w:val="3"/>
        <w:keepNext w:val="0"/>
        <w:keepLines w:val="0"/>
        <w:widowControl/>
        <w:suppressLineNumbers w:val="0"/>
      </w:pPr>
      <w:r>
        <w:t>CG-AG-01</w:t>
      </w:r>
    </w:p>
    <w:p w14:paraId="2E147E1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From Doctrine to Practice: Civic Formation, Institutional Legitimacy, and the Dharma Doctrine of Disciplined Equilibrium</w:t>
      </w:r>
    </w:p>
    <w:p w14:paraId="376A68FD">
      <w:pPr>
        <w:pStyle w:val="7"/>
        <w:keepNext w:val="0"/>
        <w:keepLines w:val="0"/>
        <w:widowControl/>
        <w:suppressLineNumbers w:val="0"/>
      </w:pPr>
      <w:r>
        <w:t>Examines how the doctrine may be translated into civic culture, institutional design, and responsible public participation.</w:t>
      </w:r>
    </w:p>
    <w:p w14:paraId="2BAEF87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6D611BEB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F59D4A">
      <w:pPr>
        <w:pStyle w:val="3"/>
        <w:keepNext w:val="0"/>
        <w:keepLines w:val="0"/>
        <w:widowControl/>
        <w:suppressLineNumbers w:val="0"/>
      </w:pPr>
      <w:r>
        <w:t>CG-CDR-01</w:t>
      </w:r>
    </w:p>
    <w:p w14:paraId="476E64D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Beyond CSR and ESG: Corporate Dharma Rājyam and the Completion of Governance Architecture</w:t>
      </w:r>
    </w:p>
    <w:p w14:paraId="60D0E25A">
      <w:pPr>
        <w:pStyle w:val="7"/>
        <w:keepNext w:val="0"/>
        <w:keepLines w:val="0"/>
        <w:widowControl/>
        <w:suppressLineNumbers w:val="0"/>
      </w:pPr>
      <w:r>
        <w:t>Proposes Corporate Dharma Rājyam as a comprehensive framework integrating ethics, governance, and long-term organisational stewardship.</w:t>
      </w:r>
    </w:p>
    <w:p w14:paraId="67FF012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5C1C9AFD">
      <w:pPr>
        <w:keepNext w:val="0"/>
        <w:keepLines w:val="0"/>
        <w:widowControl/>
        <w:suppressLineNumbers w:val="0"/>
      </w:pPr>
      <w: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93B6B9">
      <w:pPr>
        <w:pStyle w:val="3"/>
        <w:keepNext w:val="0"/>
        <w:keepLines w:val="0"/>
        <w:widowControl/>
        <w:suppressLineNumbers w:val="0"/>
      </w:pPr>
      <w:r>
        <w:t>CG-CR-02</w:t>
      </w:r>
    </w:p>
    <w:p w14:paraId="2464EFF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Executive Compensation in Corporate Dharma Rājyam: The Dhārmic Principle of Fiduciary Proportionality</w:t>
      </w:r>
    </w:p>
    <w:p w14:paraId="6F042558">
      <w:pPr>
        <w:pStyle w:val="7"/>
        <w:keepNext w:val="0"/>
        <w:keepLines w:val="0"/>
        <w:widowControl/>
        <w:suppressLineNumbers w:val="0"/>
      </w:pPr>
      <w:r>
        <w:t>Examines executive remuneration through principles of fiduciary responsibility, proportionality, and ethical stewardship.</w:t>
      </w:r>
    </w:p>
    <w:p w14:paraId="2868E3A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342D5982">
      <w:pPr>
        <w:keepNext w:val="0"/>
        <w:keepLines w:val="0"/>
        <w:widowControl/>
        <w:suppressLineNumbers w:val="0"/>
      </w:pPr>
      <w: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169262">
      <w:pPr>
        <w:pStyle w:val="3"/>
        <w:keepNext w:val="0"/>
        <w:keepLines w:val="0"/>
        <w:widowControl/>
        <w:suppressLineNumbers w:val="0"/>
      </w:pPr>
      <w:r>
        <w:t>CG-EWP-01</w:t>
      </w:r>
    </w:p>
    <w:p w14:paraId="6129C21F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Executive Compensation Beyond Market Benchmarks: A Board Framework for Fiduciary Stewardship</w:t>
      </w:r>
    </w:p>
    <w:p w14:paraId="1005D009">
      <w:pPr>
        <w:pStyle w:val="7"/>
        <w:keepNext w:val="0"/>
        <w:keepLines w:val="0"/>
        <w:widowControl/>
        <w:suppressLineNumbers w:val="0"/>
      </w:pPr>
      <w:r>
        <w:t>Provides practical guidance for boards seeking ethically grounded executive compensation frameworks.</w:t>
      </w:r>
    </w:p>
    <w:p w14:paraId="57412894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07E38B81">
      <w:pPr>
        <w:keepNext w:val="0"/>
        <w:keepLines w:val="0"/>
        <w:widowControl/>
        <w:suppressLineNumbers w:val="0"/>
      </w:pPr>
      <w: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7D27FD">
      <w:pPr>
        <w:pStyle w:val="2"/>
        <w:keepNext w:val="0"/>
        <w:keepLines w:val="0"/>
        <w:widowControl/>
        <w:suppressLineNumbers w:val="0"/>
      </w:pPr>
      <w:r>
        <w:t>III. Civilisational Statecraft Series – Aesthetic Knowledge Systems</w:t>
      </w:r>
    </w:p>
    <w:p w14:paraId="5602C30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A research series exploring Nāṭya as a civilisational knowledge system and examining its implications for pedagogy, aesthetics, and cultural renewal.</w:t>
      </w:r>
    </w:p>
    <w:p w14:paraId="47EF6A4B">
      <w:pPr>
        <w:keepNext w:val="0"/>
        <w:keepLines w:val="0"/>
        <w:widowControl/>
        <w:suppressLineNumbers w:val="0"/>
      </w:pPr>
      <w: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210A82">
      <w:pPr>
        <w:pStyle w:val="3"/>
        <w:keepNext w:val="0"/>
        <w:keepLines w:val="0"/>
        <w:widowControl/>
        <w:suppressLineNumbers w:val="0"/>
      </w:pPr>
      <w:r>
        <w:t>Working Paper I</w:t>
      </w:r>
    </w:p>
    <w:p w14:paraId="2D9F40F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The Return of Nāṭya: Art, Memory, and the Long Rhythm of a Civilisation</w:t>
      </w:r>
    </w:p>
    <w:p w14:paraId="47707476">
      <w:pPr>
        <w:pStyle w:val="7"/>
        <w:keepNext w:val="0"/>
        <w:keepLines w:val="0"/>
        <w:widowControl/>
        <w:suppressLineNumbers w:val="0"/>
      </w:pPr>
      <w:r>
        <w:t>Examines Nāṭya as a civilisational knowledge system and argues that the challenge before our time is not merely preserving artistic traditions, but reintegrating knowledge, practice, and inner cultivation.</w:t>
      </w:r>
    </w:p>
    <w:p w14:paraId="6AC6830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12086270">
      <w:pPr>
        <w:keepNext w:val="0"/>
        <w:keepLines w:val="0"/>
        <w:widowControl/>
        <w:suppressLineNumbers w:val="0"/>
      </w:pPr>
      <w: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6129DE">
      <w:pPr>
        <w:pStyle w:val="3"/>
        <w:keepNext w:val="0"/>
        <w:keepLines w:val="0"/>
        <w:widowControl/>
        <w:suppressLineNumbers w:val="0"/>
      </w:pPr>
      <w:r>
        <w:t>Working Paper II</w:t>
      </w:r>
    </w:p>
    <w:p w14:paraId="0CFFA729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Rasika–Saṃskṛti–Saṃvāda: A Pedagogy of Offering and Reception in Nāṭya</w:t>
      </w:r>
    </w:p>
    <w:p w14:paraId="40DEA4B0">
      <w:pPr>
        <w:pStyle w:val="7"/>
        <w:keepNext w:val="0"/>
        <w:keepLines w:val="0"/>
        <w:widowControl/>
        <w:suppressLineNumbers w:val="0"/>
      </w:pPr>
      <w:r>
        <w:t xml:space="preserve">Explores the cultivation of the </w:t>
      </w:r>
      <w:r>
        <w:rPr>
          <w:rStyle w:val="6"/>
        </w:rPr>
        <w:t>rasika</w:t>
      </w:r>
      <w:r>
        <w:t xml:space="preserve"> and proposes a pedagogical framework centred on offering, reception, dialogue, and aesthetic refinement.</w:t>
      </w:r>
    </w:p>
    <w:p w14:paraId="22883B3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58DA1D10">
      <w:pPr>
        <w:keepNext w:val="0"/>
        <w:keepLines w:val="0"/>
        <w:widowControl/>
        <w:suppressLineNumbers w:val="0"/>
      </w:pPr>
      <w: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A778E">
      <w:pPr>
        <w:pStyle w:val="2"/>
        <w:keepNext w:val="0"/>
        <w:keepLines w:val="0"/>
        <w:widowControl/>
        <w:suppressLineNumbers w:val="0"/>
      </w:pPr>
      <w:r>
        <w:t>IV. Rasa Reflection Series</w:t>
      </w:r>
    </w:p>
    <w:p w14:paraId="0CB33299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Short reflections applying insights from the Nāṭyaśāstra to contemporary questions of education, culture, ethics, and public life.</w:t>
      </w:r>
    </w:p>
    <w:p w14:paraId="787CFBF8">
      <w:pPr>
        <w:keepNext w:val="0"/>
        <w:keepLines w:val="0"/>
        <w:widowControl/>
        <w:suppressLineNumbers w:val="0"/>
      </w:pPr>
      <w: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61131F">
      <w:pPr>
        <w:pStyle w:val="3"/>
        <w:keepNext w:val="0"/>
        <w:keepLines w:val="0"/>
        <w:widowControl/>
        <w:suppressLineNumbers w:val="0"/>
      </w:pPr>
      <w:r>
        <w:t>Reflection I</w:t>
      </w:r>
    </w:p>
    <w:p w14:paraId="138FA6EB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From Entitlement to Embodiment: A Nāṭyaśāstra Reflection on Desire, Dharma and Śṛṅgāra</w:t>
      </w:r>
    </w:p>
    <w:p w14:paraId="1BDB5752">
      <w:pPr>
        <w:pStyle w:val="7"/>
        <w:keepNext w:val="0"/>
        <w:keepLines w:val="0"/>
        <w:widowControl/>
        <w:suppressLineNumbers w:val="0"/>
      </w:pPr>
      <w:r>
        <w:t>Reflects on the movement from consumption to cultivation, exploring how Nāṭya reshapes desire into disciplined aesthetic experience.</w:t>
      </w:r>
    </w:p>
    <w:p w14:paraId="7816227D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0090BF26">
      <w:pPr>
        <w:keepNext w:val="0"/>
        <w:keepLines w:val="0"/>
        <w:widowControl/>
        <w:suppressLineNumbers w:val="0"/>
      </w:pPr>
      <w: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0DCA54">
      <w:pPr>
        <w:pStyle w:val="3"/>
        <w:keepNext w:val="0"/>
        <w:keepLines w:val="0"/>
        <w:widowControl/>
        <w:suppressLineNumbers w:val="0"/>
      </w:pPr>
      <w:r>
        <w:t>Reflection II</w:t>
      </w:r>
    </w:p>
    <w:p w14:paraId="6F437C0A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From Examinations to Education: A Nāṭyaśāstra Reflection on Human Flourishing</w:t>
      </w:r>
    </w:p>
    <w:p w14:paraId="0D96C452">
      <w:pPr>
        <w:pStyle w:val="7"/>
        <w:keepNext w:val="0"/>
        <w:keepLines w:val="0"/>
        <w:widowControl/>
        <w:suppressLineNumbers w:val="0"/>
      </w:pPr>
      <w:r>
        <w:t>Reimagines education through the lens of Nāṭyaśāstra, emphasising character, perception, and human flourishing over examination-driven learning.</w:t>
      </w:r>
    </w:p>
    <w:p w14:paraId="12A8CB05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📄 Download PDF</w:t>
      </w:r>
    </w:p>
    <w:p w14:paraId="7CD9888C">
      <w:pPr>
        <w:keepNext w:val="0"/>
        <w:keepLines w:val="0"/>
        <w:widowControl/>
        <w:suppressLineNumbers w:val="0"/>
      </w:pPr>
      <w: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36B820">
      <w:pPr>
        <w:pStyle w:val="2"/>
        <w:keepNext w:val="0"/>
        <w:keepLines w:val="0"/>
        <w:widowControl/>
        <w:suppressLineNumbers w:val="0"/>
      </w:pPr>
      <w:r>
        <w:t>Design Instructions</w:t>
      </w:r>
    </w:p>
    <w:p w14:paraId="6439509D">
      <w:pPr>
        <w:pStyle w:val="7"/>
        <w:keepNext w:val="0"/>
        <w:keepLines w:val="0"/>
        <w:widowControl/>
        <w:suppressLineNumbers w:val="0"/>
        <w:ind w:left="720"/>
      </w:pPr>
      <w:r>
        <w:t xml:space="preserve">The page should resemble the </w:t>
      </w:r>
      <w:r>
        <w:rPr>
          <w:rStyle w:val="8"/>
        </w:rPr>
        <w:t>publications section of a university press or leading research institute</w:t>
      </w:r>
      <w:r>
        <w:t>, not a file repository.</w:t>
      </w:r>
    </w:p>
    <w:p w14:paraId="503B58ED">
      <w:pPr>
        <w:pStyle w:val="7"/>
        <w:keepNext w:val="0"/>
        <w:keepLines w:val="0"/>
        <w:widowControl/>
        <w:suppressLineNumbers w:val="0"/>
        <w:ind w:left="720"/>
      </w:pPr>
      <w:r>
        <w:t xml:space="preserve">Display each publication as an elegant </w:t>
      </w:r>
      <w:r>
        <w:rPr>
          <w:rStyle w:val="8"/>
        </w:rPr>
        <w:t>Publication Card</w:t>
      </w:r>
      <w:r>
        <w:t>, not as a bullet list.</w:t>
      </w:r>
    </w:p>
    <w:p w14:paraId="17E95378">
      <w:pPr>
        <w:pStyle w:val="7"/>
        <w:keepNext w:val="0"/>
        <w:keepLines w:val="0"/>
        <w:widowControl/>
        <w:suppressLineNumbers w:val="0"/>
        <w:ind w:left="720"/>
      </w:pPr>
      <w:r>
        <w:t>Maintain generous spacing and a clean, uncluttered layout.</w:t>
      </w:r>
    </w:p>
    <w:p w14:paraId="5675A816">
      <w:pPr>
        <w:pStyle w:val="7"/>
        <w:keepNext w:val="0"/>
        <w:keepLines w:val="0"/>
        <w:widowControl/>
        <w:suppressLineNumbers w:val="0"/>
        <w:ind w:left="720"/>
      </w:pPr>
      <w:r>
        <w:t>Publication covers should have consistent dimensions and styling.</w:t>
      </w:r>
    </w:p>
    <w:p w14:paraId="2A60C03F">
      <w:pPr>
        <w:pStyle w:val="7"/>
        <w:keepNext w:val="0"/>
        <w:keepLines w:val="0"/>
        <w:widowControl/>
        <w:suppressLineNumbers w:val="0"/>
        <w:ind w:left="720"/>
      </w:pPr>
      <w:r>
        <w:t>The page should remain fully responsive on desktop, tablet, and mobile.</w:t>
      </w:r>
    </w:p>
    <w:p w14:paraId="72B3CAC5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125426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C5AB0"/>
    <w:multiLevelType w:val="singleLevel"/>
    <w:tmpl w:val="8B2C5AB0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3097D08"/>
    <w:rsid w:val="33097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2026-08-02T05:13:00Z</dcterms:created>
  <dc:creator>Rohit Viswanath</dc:creator>
  <cp:lastModifiedBy>Rohit Viswanath</cp:lastModifiedBy>
  <dcterms:modified xsi:type="dcterms:W3CDTF">2026-08-02T05:18:20Z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532A580A5F364C64AEF225551D9F7AFA_11</vt:lpwstr>
  </property>
  <property fmtid="{D5CDD505-2E9C-101B-9397-08002B2CF9AE}" pid="4" name="KSOTemplateDocerSaveRecord">
    <vt:lpwstr>eyJoZGlkIjoiMzAyYWM3ZmQwZjVlM2M2ZDg1OWFkZDU0OWNhMzY4ZDMiLCJ1c2VySWQiOiI1Njc2NDk4NDEyNDEifQ==</vt:lpwstr>
  </property>
</Properties>
</file>