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KawaiiComix</w:t>
      </w:r>
      <w:proofErr w:type="spellEnd"/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0D220F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64A9E">
        <w:rPr>
          <w:sz w:val="32"/>
          <w:szCs w:val="32"/>
          <w:lang w:val="en-US"/>
        </w:rPr>
        <w:t>1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1FD7F81D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12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2EC1B4BC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83F4E1D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FA482C2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27817609" w14:textId="75BA6971" w:rsidR="00542C73" w:rsidRDefault="0053021C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color w:val="auto"/>
              <w:sz w:val="22"/>
              <w:szCs w:val="22"/>
            </w:rPr>
            <w:fldChar w:fldCharType="separate"/>
          </w:r>
          <w:hyperlink w:anchor="_Toc155955645" w:history="1">
            <w:r w:rsidR="00542C73" w:rsidRPr="000D6817">
              <w:rPr>
                <w:rStyle w:val="Collegamentoipertestuale"/>
                <w:noProof/>
              </w:rPr>
              <w:t>1.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Introduzione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_Toc155955645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4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2C99F802" w14:textId="66A4F3B6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6" w:history="1">
            <w:r w:rsidRPr="000D6817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3C2B" w14:textId="532725E8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7" w:history="1">
            <w:r w:rsidRPr="000D6817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167D" w14:textId="7E794271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8" w:history="1">
            <w:r w:rsidRPr="000D6817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7D39" w14:textId="4631F8E5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9" w:history="1">
            <w:r w:rsidRPr="000D6817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B5F2" w14:textId="7C887C88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50" w:history="1">
            <w:r w:rsidRPr="000D6817">
              <w:rPr>
                <w:rStyle w:val="Collegamentoipertestuale"/>
                <w:noProof/>
              </w:rPr>
              <w:t>6.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CE45" w14:textId="2298E32E" w:rsidR="00542C73" w:rsidRDefault="00542C73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57" w:history="1">
            <w:r w:rsidRPr="000D6817">
              <w:rPr>
                <w:rStyle w:val="Collegamentoipertestuale"/>
                <w:noProof/>
              </w:rPr>
              <w:t>7.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0D6817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003C" w14:textId="16ED7E73" w:rsidR="00542C73" w:rsidRDefault="00542C7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58" w:history="1">
            <w:r w:rsidRPr="000D6817">
              <w:rPr>
                <w:rStyle w:val="Collegamentoipertestuale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EF76" w14:textId="1E52153E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59" w:history="1">
            <w:r w:rsidRPr="000D6817">
              <w:rPr>
                <w:rStyle w:val="Collegamentoipertestuale"/>
                <w:rFonts w:cstheme="minorHAnsi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TC1_1: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70C2" w14:textId="7CE36F78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0" w:history="1">
            <w:r w:rsidRPr="000D6817">
              <w:rPr>
                <w:rStyle w:val="Collegamentoipertestuale"/>
                <w:rFonts w:cstheme="minorHAnsi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TC1_2: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BC16" w14:textId="37451BB7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1" w:history="1">
            <w:r w:rsidRPr="000D6817">
              <w:rPr>
                <w:rStyle w:val="Collegamentoipertestuale"/>
                <w:rFonts w:cstheme="minorHAnsi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TC1_3: 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6A57" w14:textId="586C17D6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2" w:history="1">
            <w:r w:rsidRPr="000D6817">
              <w:rPr>
                <w:rStyle w:val="Collegamentoipertestuale"/>
                <w:rFonts w:cstheme="minorHAnsi"/>
                <w:noProof/>
              </w:rPr>
              <w:t>7.1.4.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TC1_4: Filtra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56FC" w14:textId="5360B7AD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3" w:history="1">
            <w:r w:rsidRPr="000D6817">
              <w:rPr>
                <w:rStyle w:val="Collegamentoipertestuale"/>
                <w:rFonts w:cstheme="minorHAnsi"/>
                <w:noProof/>
              </w:rPr>
              <w:t>7.1.5.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TC1_5: Aggiunta di un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D10D" w14:textId="2105AD17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4" w:history="1">
            <w:r w:rsidRPr="000D6817">
              <w:rPr>
                <w:rStyle w:val="Collegamentoipertestuale"/>
                <w:rFonts w:cstheme="minorHAnsi"/>
                <w:noProof/>
              </w:rPr>
              <w:t>7.1.6.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TC1_8: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887D" w14:textId="73C84725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5" w:history="1">
            <w:r w:rsidRPr="000D6817">
              <w:rPr>
                <w:rStyle w:val="Collegamentoipertestuale"/>
                <w:rFonts w:cstheme="minorHAnsi"/>
                <w:noProof/>
              </w:rPr>
              <w:t>7.1.7.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TC1_7: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CFB1" w14:textId="14533448" w:rsidR="00542C73" w:rsidRDefault="00542C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6" w:history="1">
            <w:r w:rsidRPr="000D6817">
              <w:rPr>
                <w:rStyle w:val="Collegamentoipertestuale"/>
                <w:rFonts w:cstheme="minorHAnsi"/>
                <w:noProof/>
              </w:rPr>
              <w:t>7.1.8.</w:t>
            </w:r>
            <w:r>
              <w:rPr>
                <w:rFonts w:cstheme="minorBidi"/>
                <w:noProof/>
                <w:kern w:val="2"/>
              </w:rPr>
              <w:tab/>
            </w:r>
            <w:r w:rsidRPr="000D6817">
              <w:rPr>
                <w:rStyle w:val="Collegamentoipertestuale"/>
                <w:noProof/>
              </w:rPr>
              <w:t>TC1_1: Aggiornamento del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CDA3" w14:textId="21B1A08E" w:rsidR="00B41C63" w:rsidRDefault="0053021C" w:rsidP="00B41C63">
          <w:pPr>
            <w:pStyle w:val="Sommario1"/>
            <w:numPr>
              <w:ilvl w:val="0"/>
              <w:numId w:val="0"/>
            </w:numPr>
            <w:ind w:left="720"/>
          </w:pPr>
          <w:r>
            <w:fldChar w:fldCharType="end"/>
          </w:r>
        </w:p>
      </w:sdtContent>
    </w:sdt>
    <w:p w14:paraId="6C25B5C7" w14:textId="3025B8A8" w:rsidR="00D074D9" w:rsidRPr="00B41C63" w:rsidRDefault="00FD2016" w:rsidP="00F2551A">
      <w:pPr>
        <w:pStyle w:val="Titolo1"/>
        <w:numPr>
          <w:ilvl w:val="0"/>
          <w:numId w:val="35"/>
        </w:numPr>
        <w:rPr>
          <w:sz w:val="22"/>
          <w:szCs w:val="22"/>
        </w:rPr>
      </w:pPr>
      <w:r w:rsidRPr="00B41C63">
        <w:br w:type="page"/>
      </w:r>
      <w:bookmarkStart w:id="0" w:name="_Toc94464343"/>
      <w:bookmarkStart w:id="1" w:name="_Toc155955645"/>
      <w:r w:rsidR="00D074D9" w:rsidRPr="00B41C63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1C63" w:rsidRDefault="00D074D9" w:rsidP="00F2551A">
      <w:pPr>
        <w:pStyle w:val="Titolo1"/>
        <w:numPr>
          <w:ilvl w:val="0"/>
          <w:numId w:val="35"/>
        </w:numPr>
      </w:pPr>
      <w:bookmarkStart w:id="2" w:name="_Toc155955646"/>
      <w:r w:rsidRPr="00B41C63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Default="00D074D9" w:rsidP="00F2551A">
      <w:pPr>
        <w:pStyle w:val="Titolo1"/>
        <w:numPr>
          <w:ilvl w:val="0"/>
          <w:numId w:val="35"/>
        </w:numPr>
      </w:pPr>
      <w:bookmarkStart w:id="3" w:name="_Toc155955647"/>
      <w:r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Default="00D074D9" w:rsidP="00F2551A">
      <w:pPr>
        <w:pStyle w:val="Titolo1"/>
        <w:numPr>
          <w:ilvl w:val="0"/>
          <w:numId w:val="35"/>
        </w:numPr>
      </w:pPr>
      <w:bookmarkStart w:id="4" w:name="_Toc155955648"/>
      <w:r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Default="003C2240" w:rsidP="00F2551A">
      <w:pPr>
        <w:pStyle w:val="Titolo1"/>
        <w:numPr>
          <w:ilvl w:val="0"/>
          <w:numId w:val="35"/>
        </w:numPr>
      </w:pPr>
      <w:bookmarkStart w:id="5" w:name="_Toc155955649"/>
      <w:r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Default="008A1E12" w:rsidP="00F2551A">
      <w:pPr>
        <w:pStyle w:val="Titolo1"/>
        <w:numPr>
          <w:ilvl w:val="0"/>
          <w:numId w:val="35"/>
        </w:numPr>
      </w:pPr>
      <w:bookmarkStart w:id="6" w:name="_Toc155955650"/>
      <w:r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7" w:name="_Toc155955651"/>
      <w:bookmarkEnd w:id="7"/>
    </w:p>
    <w:p w14:paraId="4565995E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8" w:name="_Toc155955652"/>
      <w:bookmarkEnd w:id="8"/>
    </w:p>
    <w:p w14:paraId="1C0CAE9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9" w:name="_Toc155955653"/>
      <w:bookmarkEnd w:id="9"/>
    </w:p>
    <w:p w14:paraId="043D604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0" w:name="_Toc155955654"/>
      <w:bookmarkEnd w:id="10"/>
    </w:p>
    <w:p w14:paraId="0698846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1" w:name="_Toc155955655"/>
      <w:bookmarkEnd w:id="11"/>
    </w:p>
    <w:p w14:paraId="3A4F688D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2" w:name="_Toc155955656"/>
      <w:bookmarkEnd w:id="12"/>
    </w:p>
    <w:p w14:paraId="4FD6537B" w14:textId="241AFC57" w:rsidR="008A1E12" w:rsidRDefault="008A1E12" w:rsidP="00F2551A">
      <w:pPr>
        <w:pStyle w:val="Titolo1"/>
        <w:numPr>
          <w:ilvl w:val="0"/>
          <w:numId w:val="19"/>
        </w:numPr>
      </w:pPr>
      <w:bookmarkStart w:id="13" w:name="_Toc155955657"/>
      <w:r>
        <w:t>Test case</w:t>
      </w:r>
      <w:bookmarkEnd w:id="13"/>
    </w:p>
    <w:p w14:paraId="56DE52D0" w14:textId="13D5D8C9" w:rsidR="00BE4243" w:rsidRPr="00BE4243" w:rsidRDefault="00BE4243" w:rsidP="00F2551A">
      <w:pPr>
        <w:pStyle w:val="Titolo2"/>
        <w:numPr>
          <w:ilvl w:val="1"/>
          <w:numId w:val="19"/>
        </w:numPr>
      </w:pPr>
      <w:bookmarkStart w:id="14" w:name="_Toc155955658"/>
      <w:r w:rsidRPr="00BE4243">
        <w:t>Funzionalità Utente</w:t>
      </w:r>
      <w:bookmarkEnd w:id="14"/>
    </w:p>
    <w:p w14:paraId="7032FC11" w14:textId="7E0544F4" w:rsidR="00BE4243" w:rsidRDefault="00BE4243" w:rsidP="00F2551A">
      <w:pPr>
        <w:pStyle w:val="Titolo3"/>
        <w:numPr>
          <w:ilvl w:val="2"/>
          <w:numId w:val="19"/>
        </w:numPr>
      </w:pPr>
      <w:bookmarkStart w:id="15" w:name="_Toc155955659"/>
      <w:r w:rsidRPr="00BE4243">
        <w:t>TC1_1: Registrazione</w:t>
      </w:r>
      <w:bookmarkEnd w:id="1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16" w:name="_Toc155955660"/>
      <w:r w:rsidRPr="00BE4243">
        <w:t>TC1_</w:t>
      </w:r>
      <w:r>
        <w:t>2: Autenticazione</w:t>
      </w:r>
      <w:bookmarkEnd w:id="1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17" w:name="_Toc155955661"/>
      <w:r>
        <w:t>TC1_3: Ricerca Prodotto</w:t>
      </w:r>
      <w:bookmarkEnd w:id="17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18" w:name="_Toc155955662"/>
      <w:r>
        <w:t xml:space="preserve">TC1_4: </w:t>
      </w:r>
      <w:r w:rsidR="00A55CA5">
        <w:t>Filtra Prodotti</w:t>
      </w:r>
      <w:bookmarkEnd w:id="18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>i prodotti della categoria</w:t>
            </w:r>
            <w:r w:rsidR="000A7D6C">
              <w:t xml:space="preserve">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</w:t>
            </w:r>
            <w:r>
              <w:t xml:space="preserve">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>
              <w:t xml:space="preserve">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>i prodotti della categoria</w:t>
            </w:r>
            <w:r w:rsidR="000A7D6C">
              <w:t xml:space="preserve">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 w:rsidR="000A7D6C">
              <w:t xml:space="preserve">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 w:rsidR="000A7D6C">
              <w:t xml:space="preserve">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 w:rsidR="000A7D6C">
              <w:t xml:space="preserve">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CWC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r>
              <w:t>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</w:t>
            </w:r>
            <w:r>
              <w:t>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>GAZ2 -GC2 – GCO2 – GCR2 – GD2 – GF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</w:t>
            </w:r>
            <w:r>
              <w:t xml:space="preserve">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</w:t>
            </w:r>
            <w:r>
              <w:t xml:space="preserve">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GP2 – GPS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GP2 – GPS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GS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GP2 – GPS2 – GS2 – GSE2 – GSP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</w:t>
            </w:r>
            <w:r>
              <w:t xml:space="preserve">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</w:t>
            </w:r>
            <w:r>
              <w:t xml:space="preserve">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19" w:name="_Toc155955663"/>
      <w:r>
        <w:t>TC1_</w:t>
      </w:r>
      <w:r>
        <w:t>5</w:t>
      </w:r>
      <w:r>
        <w:t xml:space="preserve">: </w:t>
      </w:r>
      <w:r>
        <w:t>Aggiunta di un prodotto al carrello</w:t>
      </w:r>
      <w:bookmarkEnd w:id="19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32828AC" w:rsidR="000C0AED" w:rsidRDefault="000C0AED" w:rsidP="000C0AED">
      <w:pPr>
        <w:pStyle w:val="Titolo3"/>
        <w:numPr>
          <w:ilvl w:val="2"/>
          <w:numId w:val="19"/>
        </w:numPr>
      </w:pPr>
      <w:bookmarkStart w:id="20" w:name="_Toc155955664"/>
      <w:r>
        <w:t>TC1_</w:t>
      </w:r>
      <w:r w:rsidR="009F7494">
        <w:t>8</w:t>
      </w:r>
      <w:r>
        <w:t xml:space="preserve">: </w:t>
      </w:r>
      <w:r>
        <w:t>Rimozione</w:t>
      </w:r>
      <w:r>
        <w:t xml:space="preserve"> di un prodotto </w:t>
      </w:r>
      <w:r>
        <w:t>d</w:t>
      </w:r>
      <w:r>
        <w:t>al carrello</w:t>
      </w:r>
      <w:bookmarkEnd w:id="20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7B9A2876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Il prodotto viene rimosso. </w:t>
            </w: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carrello </w:t>
            </w:r>
            <w:r w:rsidRPr="00427F1C">
              <w:rPr>
                <w:sz w:val="24"/>
                <w:szCs w:val="24"/>
              </w:rPr>
              <w:t>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21" w:name="_Toc155955665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2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FN1: formato </w:t>
            </w:r>
            <w:r w:rsidRPr="00427F1C">
              <w:rPr>
                <w:sz w:val="24"/>
                <w:szCs w:val="24"/>
              </w:rPr>
              <w:t>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</w:t>
            </w:r>
            <w:r>
              <w:rPr>
                <w:sz w:val="24"/>
                <w:szCs w:val="24"/>
              </w:rPr>
              <w:t>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678A3E5E" w:rsidR="00316B11" w:rsidRDefault="00316B11" w:rsidP="00316B11">
      <w:pPr>
        <w:pStyle w:val="Titolo3"/>
        <w:numPr>
          <w:ilvl w:val="2"/>
          <w:numId w:val="19"/>
        </w:numPr>
      </w:pPr>
      <w:bookmarkStart w:id="22" w:name="_Toc155955666"/>
      <w:r w:rsidRPr="00BE4243">
        <w:t xml:space="preserve">TC1_1: </w:t>
      </w:r>
      <w:r w:rsidR="009F7494">
        <w:t>Aggiornamento del Profilo</w:t>
      </w:r>
      <w:bookmarkEnd w:id="2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</w:t>
            </w:r>
            <w:r w:rsidR="0077204F">
              <w:rPr>
                <w:sz w:val="24"/>
                <w:szCs w:val="24"/>
              </w:rPr>
              <w:t>_non</w:t>
            </w:r>
            <w:r w:rsidR="0077204F">
              <w:rPr>
                <w:sz w:val="24"/>
                <w:szCs w:val="24"/>
              </w:rPr>
              <w:t>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</w:t>
            </w:r>
            <w:r w:rsidR="0077204F">
              <w:rPr>
                <w:sz w:val="24"/>
                <w:szCs w:val="24"/>
              </w:rPr>
              <w:t>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</w:t>
            </w:r>
            <w:r w:rsidR="007B38FA">
              <w:rPr>
                <w:sz w:val="24"/>
                <w:szCs w:val="24"/>
              </w:rPr>
              <w:t>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</w:t>
            </w:r>
            <w:r w:rsidR="007B38FA">
              <w:rPr>
                <w:sz w:val="24"/>
                <w:szCs w:val="24"/>
              </w:rPr>
              <w:t>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</w:t>
            </w:r>
            <w:r w:rsidR="0077204F">
              <w:rPr>
                <w:sz w:val="24"/>
                <w:szCs w:val="24"/>
              </w:rPr>
              <w:t>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</w:t>
            </w:r>
            <w:r w:rsidR="00364309">
              <w:rPr>
                <w:sz w:val="24"/>
                <w:szCs w:val="24"/>
              </w:rPr>
              <w:t>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</w:t>
            </w:r>
            <w:r w:rsidR="00364309">
              <w:rPr>
                <w:sz w:val="24"/>
                <w:szCs w:val="24"/>
              </w:rPr>
              <w:t>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Inserit</w:t>
            </w:r>
            <w:r w:rsidR="0077204F">
              <w:rPr>
                <w:sz w:val="24"/>
                <w:szCs w:val="24"/>
              </w:rPr>
              <w:t>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</w:t>
            </w:r>
            <w:r w:rsidR="00364309">
              <w:rPr>
                <w:sz w:val="24"/>
                <w:szCs w:val="24"/>
              </w:rPr>
              <w:t>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</w:t>
            </w:r>
            <w:r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aggiornato</w:t>
            </w:r>
            <w:r>
              <w:rPr>
                <w:sz w:val="24"/>
                <w:szCs w:val="24"/>
              </w:rPr>
              <w:t>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>
              <w:rPr>
                <w:sz w:val="24"/>
                <w:szCs w:val="24"/>
              </w:rPr>
              <w:t>Le password non corrispondono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  <w:r>
              <w:rPr>
                <w:sz w:val="24"/>
                <w:szCs w:val="24"/>
              </w:rPr>
              <w:t xml:space="preserve">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63F09901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il </w:t>
            </w:r>
            <w:r>
              <w:rPr>
                <w:sz w:val="24"/>
                <w:szCs w:val="24"/>
              </w:rPr>
              <w:t>cognome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>
              <w:rPr>
                <w:sz w:val="24"/>
                <w:szCs w:val="24"/>
              </w:rPr>
              <w:t>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>
              <w:rPr>
                <w:sz w:val="24"/>
                <w:szCs w:val="24"/>
              </w:rPr>
              <w:t>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il </w:t>
            </w:r>
            <w:r>
              <w:rPr>
                <w:sz w:val="24"/>
                <w:szCs w:val="24"/>
              </w:rPr>
              <w:t>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>
              <w:rPr>
                <w:sz w:val="24"/>
                <w:szCs w:val="24"/>
              </w:rPr>
              <w:t>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Pr="00492772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E6DB9E0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A6FBC95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7437075" w14:textId="77777777" w:rsidR="00492772" w:rsidRP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sectPr w:rsidR="00492772" w:rsidRPr="00492772" w:rsidSect="00F1003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5FBF" w14:textId="77777777" w:rsidR="00F1003A" w:rsidRDefault="00F1003A" w:rsidP="00DD24FE">
      <w:pPr>
        <w:spacing w:after="0" w:line="240" w:lineRule="auto"/>
      </w:pPr>
      <w:r>
        <w:separator/>
      </w:r>
    </w:p>
  </w:endnote>
  <w:endnote w:type="continuationSeparator" w:id="0">
    <w:p w14:paraId="6E2ED8C5" w14:textId="77777777" w:rsidR="00F1003A" w:rsidRDefault="00F1003A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73DC" w14:textId="77777777" w:rsidR="00F1003A" w:rsidRDefault="00F1003A" w:rsidP="00DD24FE">
      <w:pPr>
        <w:spacing w:after="0" w:line="240" w:lineRule="auto"/>
      </w:pPr>
      <w:r>
        <w:separator/>
      </w:r>
    </w:p>
  </w:footnote>
  <w:footnote w:type="continuationSeparator" w:id="0">
    <w:p w14:paraId="09014EE4" w14:textId="77777777" w:rsidR="00F1003A" w:rsidRDefault="00F1003A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7777777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KawaiiComix</w:t>
          </w:r>
          <w:proofErr w:type="spellEnd"/>
        </w:p>
      </w:tc>
      <w:tc>
        <w:tcPr>
          <w:tcW w:w="4889" w:type="dxa"/>
        </w:tcPr>
        <w:p w14:paraId="5E5440CD" w14:textId="3E7B431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Versione 1.</w:t>
          </w:r>
          <w:r w:rsidR="00414DEC">
            <w:rPr>
              <w:sz w:val="24"/>
              <w:szCs w:val="24"/>
            </w:rPr>
            <w:t>1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76B30AF9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F274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1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465FF"/>
    <w:multiLevelType w:val="hybridMultilevel"/>
    <w:tmpl w:val="49E422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BE5C11"/>
    <w:multiLevelType w:val="hybridMultilevel"/>
    <w:tmpl w:val="9362877E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550A26"/>
    <w:multiLevelType w:val="hybridMultilevel"/>
    <w:tmpl w:val="DBE68D3E"/>
    <w:lvl w:ilvl="0" w:tplc="FF02920A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5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0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24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6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28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9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24"/>
  </w:num>
  <w:num w:numId="2" w16cid:durableId="1441604346">
    <w:abstractNumId w:val="5"/>
  </w:num>
  <w:num w:numId="3" w16cid:durableId="204634973">
    <w:abstractNumId w:val="18"/>
  </w:num>
  <w:num w:numId="4" w16cid:durableId="399059192">
    <w:abstractNumId w:val="29"/>
  </w:num>
  <w:num w:numId="5" w16cid:durableId="45766777">
    <w:abstractNumId w:val="2"/>
  </w:num>
  <w:num w:numId="6" w16cid:durableId="1028335368">
    <w:abstractNumId w:val="3"/>
  </w:num>
  <w:num w:numId="7" w16cid:durableId="1187327956">
    <w:abstractNumId w:val="9"/>
  </w:num>
  <w:num w:numId="8" w16cid:durableId="66657577">
    <w:abstractNumId w:val="22"/>
  </w:num>
  <w:num w:numId="9" w16cid:durableId="1803772010">
    <w:abstractNumId w:val="27"/>
  </w:num>
  <w:num w:numId="10" w16cid:durableId="837816375">
    <w:abstractNumId w:val="10"/>
  </w:num>
  <w:num w:numId="11" w16cid:durableId="1038357355">
    <w:abstractNumId w:val="0"/>
  </w:num>
  <w:num w:numId="12" w16cid:durableId="15935341">
    <w:abstractNumId w:val="21"/>
  </w:num>
  <w:num w:numId="13" w16cid:durableId="1014305455">
    <w:abstractNumId w:val="19"/>
  </w:num>
  <w:num w:numId="14" w16cid:durableId="453790009">
    <w:abstractNumId w:val="16"/>
  </w:num>
  <w:num w:numId="15" w16cid:durableId="1597902295">
    <w:abstractNumId w:val="28"/>
  </w:num>
  <w:num w:numId="16" w16cid:durableId="1812362521">
    <w:abstractNumId w:val="14"/>
  </w:num>
  <w:num w:numId="17" w16cid:durableId="1353145101">
    <w:abstractNumId w:val="1"/>
  </w:num>
  <w:num w:numId="18" w16cid:durableId="1636716762">
    <w:abstractNumId w:val="25"/>
  </w:num>
  <w:num w:numId="19" w16cid:durableId="1331369111">
    <w:abstractNumId w:val="15"/>
  </w:num>
  <w:num w:numId="20" w16cid:durableId="145318896">
    <w:abstractNumId w:val="17"/>
  </w:num>
  <w:num w:numId="21" w16cid:durableId="1979725324">
    <w:abstractNumId w:val="7"/>
  </w:num>
  <w:num w:numId="22" w16cid:durableId="17310611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0"/>
  </w:num>
  <w:num w:numId="24" w16cid:durableId="1285620994">
    <w:abstractNumId w:val="11"/>
  </w:num>
  <w:num w:numId="25" w16cid:durableId="1832519926">
    <w:abstractNumId w:val="23"/>
  </w:num>
  <w:num w:numId="26" w16cid:durableId="919021127">
    <w:abstractNumId w:val="6"/>
  </w:num>
  <w:num w:numId="27" w16cid:durableId="2042511051">
    <w:abstractNumId w:val="13"/>
  </w:num>
  <w:num w:numId="28" w16cid:durableId="1927499501">
    <w:abstractNumId w:val="8"/>
  </w:num>
  <w:num w:numId="29" w16cid:durableId="1067073743">
    <w:abstractNumId w:val="8"/>
    <w:lvlOverride w:ilvl="0">
      <w:startOverride w:val="1"/>
    </w:lvlOverride>
  </w:num>
  <w:num w:numId="30" w16cid:durableId="1904755244">
    <w:abstractNumId w:val="8"/>
  </w:num>
  <w:num w:numId="31" w16cid:durableId="1164466649">
    <w:abstractNumId w:val="12"/>
  </w:num>
  <w:num w:numId="32" w16cid:durableId="1260916646">
    <w:abstractNumId w:val="12"/>
  </w:num>
  <w:num w:numId="33" w16cid:durableId="571083679">
    <w:abstractNumId w:val="12"/>
    <w:lvlOverride w:ilvl="0">
      <w:startOverride w:val="1"/>
    </w:lvlOverride>
  </w:num>
  <w:num w:numId="34" w16cid:durableId="756176358">
    <w:abstractNumId w:val="12"/>
    <w:lvlOverride w:ilvl="0">
      <w:startOverride w:val="1"/>
    </w:lvlOverride>
  </w:num>
  <w:num w:numId="35" w16cid:durableId="1814254300">
    <w:abstractNumId w:val="4"/>
  </w:num>
  <w:num w:numId="36" w16cid:durableId="11721372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101C10"/>
    <w:rsid w:val="00102FD1"/>
    <w:rsid w:val="00116752"/>
    <w:rsid w:val="001557F7"/>
    <w:rsid w:val="001573A3"/>
    <w:rsid w:val="00176914"/>
    <w:rsid w:val="00193000"/>
    <w:rsid w:val="00194FAF"/>
    <w:rsid w:val="001A51E2"/>
    <w:rsid w:val="001B4919"/>
    <w:rsid w:val="001E66EB"/>
    <w:rsid w:val="001E78B3"/>
    <w:rsid w:val="002266E5"/>
    <w:rsid w:val="00254052"/>
    <w:rsid w:val="00257A86"/>
    <w:rsid w:val="0029290F"/>
    <w:rsid w:val="002B78B8"/>
    <w:rsid w:val="002C3BFA"/>
    <w:rsid w:val="002E118C"/>
    <w:rsid w:val="00312EE2"/>
    <w:rsid w:val="00316B11"/>
    <w:rsid w:val="00323540"/>
    <w:rsid w:val="003357C4"/>
    <w:rsid w:val="00364309"/>
    <w:rsid w:val="0037323F"/>
    <w:rsid w:val="00384928"/>
    <w:rsid w:val="003C2240"/>
    <w:rsid w:val="003D2CBB"/>
    <w:rsid w:val="003D6303"/>
    <w:rsid w:val="003F48F1"/>
    <w:rsid w:val="00414DEC"/>
    <w:rsid w:val="0042114A"/>
    <w:rsid w:val="00422076"/>
    <w:rsid w:val="00427F1C"/>
    <w:rsid w:val="00442C54"/>
    <w:rsid w:val="004539A8"/>
    <w:rsid w:val="004667CA"/>
    <w:rsid w:val="00485E76"/>
    <w:rsid w:val="00485EB9"/>
    <w:rsid w:val="00492772"/>
    <w:rsid w:val="00494976"/>
    <w:rsid w:val="00494A0D"/>
    <w:rsid w:val="004A6DF0"/>
    <w:rsid w:val="004B3C00"/>
    <w:rsid w:val="004D327A"/>
    <w:rsid w:val="004E08AC"/>
    <w:rsid w:val="004F5522"/>
    <w:rsid w:val="004F6A3F"/>
    <w:rsid w:val="00521789"/>
    <w:rsid w:val="0052645A"/>
    <w:rsid w:val="0053021C"/>
    <w:rsid w:val="00542C73"/>
    <w:rsid w:val="00556916"/>
    <w:rsid w:val="00573992"/>
    <w:rsid w:val="00574205"/>
    <w:rsid w:val="00592433"/>
    <w:rsid w:val="005A3E79"/>
    <w:rsid w:val="005A6756"/>
    <w:rsid w:val="005B570C"/>
    <w:rsid w:val="005C404B"/>
    <w:rsid w:val="005D62BF"/>
    <w:rsid w:val="005E7D96"/>
    <w:rsid w:val="005F1ACD"/>
    <w:rsid w:val="005F4919"/>
    <w:rsid w:val="006061DC"/>
    <w:rsid w:val="00614CB2"/>
    <w:rsid w:val="00636A26"/>
    <w:rsid w:val="0064355E"/>
    <w:rsid w:val="00665D47"/>
    <w:rsid w:val="006C370A"/>
    <w:rsid w:val="006D38EF"/>
    <w:rsid w:val="006D5F7D"/>
    <w:rsid w:val="006E1645"/>
    <w:rsid w:val="006F0E6F"/>
    <w:rsid w:val="0071381E"/>
    <w:rsid w:val="00736638"/>
    <w:rsid w:val="007400CE"/>
    <w:rsid w:val="00756F01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0588"/>
    <w:rsid w:val="008C2E07"/>
    <w:rsid w:val="008C4637"/>
    <w:rsid w:val="008D5F78"/>
    <w:rsid w:val="008D6246"/>
    <w:rsid w:val="008D7B24"/>
    <w:rsid w:val="008E76A0"/>
    <w:rsid w:val="00920A90"/>
    <w:rsid w:val="00940AD6"/>
    <w:rsid w:val="0094752C"/>
    <w:rsid w:val="00965A78"/>
    <w:rsid w:val="00965ACE"/>
    <w:rsid w:val="009835DE"/>
    <w:rsid w:val="009906A4"/>
    <w:rsid w:val="00991421"/>
    <w:rsid w:val="009A57D6"/>
    <w:rsid w:val="009B6A02"/>
    <w:rsid w:val="009C5607"/>
    <w:rsid w:val="009F7494"/>
    <w:rsid w:val="00A030F7"/>
    <w:rsid w:val="00A138AE"/>
    <w:rsid w:val="00A26A7D"/>
    <w:rsid w:val="00A3090C"/>
    <w:rsid w:val="00A321A6"/>
    <w:rsid w:val="00A36DD9"/>
    <w:rsid w:val="00A441BA"/>
    <w:rsid w:val="00A55CA5"/>
    <w:rsid w:val="00A61204"/>
    <w:rsid w:val="00A640A9"/>
    <w:rsid w:val="00A710F6"/>
    <w:rsid w:val="00A7320F"/>
    <w:rsid w:val="00A76445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41C63"/>
    <w:rsid w:val="00B532A4"/>
    <w:rsid w:val="00B56CDE"/>
    <w:rsid w:val="00B654A4"/>
    <w:rsid w:val="00B67B24"/>
    <w:rsid w:val="00BA2377"/>
    <w:rsid w:val="00BA542C"/>
    <w:rsid w:val="00BC0796"/>
    <w:rsid w:val="00BC1DC9"/>
    <w:rsid w:val="00BE4243"/>
    <w:rsid w:val="00BF4210"/>
    <w:rsid w:val="00C34A62"/>
    <w:rsid w:val="00C52BFC"/>
    <w:rsid w:val="00C5376D"/>
    <w:rsid w:val="00C8362B"/>
    <w:rsid w:val="00C92BC9"/>
    <w:rsid w:val="00CA34A4"/>
    <w:rsid w:val="00CB3665"/>
    <w:rsid w:val="00CC4EBC"/>
    <w:rsid w:val="00D0572C"/>
    <w:rsid w:val="00D074D9"/>
    <w:rsid w:val="00D15395"/>
    <w:rsid w:val="00D46E21"/>
    <w:rsid w:val="00D56D07"/>
    <w:rsid w:val="00D6446F"/>
    <w:rsid w:val="00D669EE"/>
    <w:rsid w:val="00D70718"/>
    <w:rsid w:val="00D71039"/>
    <w:rsid w:val="00D86C91"/>
    <w:rsid w:val="00DC41F8"/>
    <w:rsid w:val="00DD24FE"/>
    <w:rsid w:val="00DE0EC5"/>
    <w:rsid w:val="00DE78B3"/>
    <w:rsid w:val="00DF51CD"/>
    <w:rsid w:val="00E30491"/>
    <w:rsid w:val="00E37892"/>
    <w:rsid w:val="00E64A9E"/>
    <w:rsid w:val="00E7669F"/>
    <w:rsid w:val="00E82807"/>
    <w:rsid w:val="00E953B5"/>
    <w:rsid w:val="00E95C49"/>
    <w:rsid w:val="00E96E67"/>
    <w:rsid w:val="00E9776A"/>
    <w:rsid w:val="00EA2300"/>
    <w:rsid w:val="00EA62A4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1C63"/>
    <w:pPr>
      <w:numPr>
        <w:numId w:val="31"/>
      </w:numPr>
      <w:tabs>
        <w:tab w:val="left" w:pos="44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3021C"/>
    <w:pPr>
      <w:spacing w:after="100" w:line="259" w:lineRule="auto"/>
      <w:ind w:left="440"/>
    </w:pPr>
    <w:rPr>
      <w:rFonts w:eastAsiaTheme="minorEastAsia" w:cs="Times New Roman"/>
      <w:kern w:val="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19</Pages>
  <Words>4304</Words>
  <Characters>24534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250</cp:revision>
  <dcterms:created xsi:type="dcterms:W3CDTF">2023-10-13T13:44:00Z</dcterms:created>
  <dcterms:modified xsi:type="dcterms:W3CDTF">2024-01-12T11:46:00Z</dcterms:modified>
</cp:coreProperties>
</file>