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9B1C1C"/>
          <w:sz w:val="20"/>
        </w:rPr>
        <w:t>SECURITY REVIEW</w:t>
      </w:r>
    </w:p>
    <w:p>
      <w:pPr>
        <w:pStyle w:val="Title"/>
        <w:keepNext/>
      </w:pPr>
      <w:r>
        <w:t>FlockTrax User Permissions and Authorization</w:t>
      </w:r>
    </w:p>
    <w:p>
      <w:pPr>
        <w:spacing w:after="320"/>
      </w:pPr>
      <w:r>
        <w:rPr>
          <w:rFonts w:ascii="Calibri" w:hAnsi="Calibri"/>
          <w:color w:val="1F4D78"/>
          <w:sz w:val="26"/>
        </w:rPr>
        <w:t>Read-only review of web-admin, API routes, Server Actions, Edge Functions, RPCs, roles, memberships, and row-level security</w:t>
      </w:r>
    </w:p>
    <w:tbl>
      <w:tblPr>
        <w:tblStyle w:val="TableGrid"/>
        <w:tblW w:type="dxa" w:w="9360"/>
        <w:jc w:val="left"/>
        <w:tblLayout w:type="fixed"/>
        <w:tblLook w:firstColumn="1" w:firstRow="1" w:lastColumn="0" w:lastRow="0" w:noHBand="0" w:noVBand="1" w:val="04A0"/>
        <w:tblInd w:w="120" w:type="dxa"/>
      </w:tblPr>
      <w:tblGrid>
        <w:gridCol w:w="2160"/>
        <w:gridCol w:w="7200"/>
      </w:tblGrid>
      <w:tr>
        <w:tc>
          <w:tcPr>
            <w:tcW w:type="dxa" w:w="2160"/>
            <w:shd w:fill="F2F4F7"/>
            <w:tcMar>
              <w:top w:w="80" w:type="dxa"/>
              <w:start w:w="120" w:type="dxa"/>
              <w:bottom w:w="80" w:type="dxa"/>
              <w:end w:w="120" w:type="dxa"/>
            </w:tcMar>
            <w:vAlign w:val="center"/>
          </w:tcPr>
          <w:p>
            <w:r>
              <w:rPr>
                <w:rFonts w:ascii="Calibri" w:hAnsi="Calibri"/>
                <w:b/>
                <w:color w:val="0B2545"/>
                <w:sz w:val="20"/>
              </w:rPr>
              <w:t>Repository</w:t>
            </w:r>
          </w:p>
        </w:tc>
        <w:tc>
          <w:tcPr>
            <w:tcW w:type="dxa" w:w="7200"/>
            <w:tcMar>
              <w:top w:w="80" w:type="dxa"/>
              <w:start w:w="120" w:type="dxa"/>
              <w:bottom w:w="80" w:type="dxa"/>
              <w:end w:w="120" w:type="dxa"/>
            </w:tcMar>
            <w:vAlign w:val="center"/>
          </w:tcPr>
          <w:p>
            <w:r>
              <w:rPr>
                <w:rFonts w:ascii="Calibri" w:hAnsi="Calibri"/>
                <w:color w:val="1F2937"/>
                <w:sz w:val="20"/>
              </w:rPr>
              <w:t>C:\dev\FlockTrax</w:t>
            </w:r>
          </w:p>
        </w:tc>
      </w:tr>
      <w:tr>
        <w:tc>
          <w:tcPr>
            <w:tcW w:type="dxa" w:w="2160"/>
            <w:shd w:fill="F2F4F7"/>
            <w:tcMar>
              <w:top w:w="80" w:type="dxa"/>
              <w:start w:w="120" w:type="dxa"/>
              <w:bottom w:w="80" w:type="dxa"/>
              <w:end w:w="120" w:type="dxa"/>
            </w:tcMar>
            <w:vAlign w:val="center"/>
          </w:tcPr>
          <w:p>
            <w:r>
              <w:rPr>
                <w:rFonts w:ascii="Calibri" w:hAnsi="Calibri"/>
                <w:b/>
                <w:color w:val="0B2545"/>
                <w:sz w:val="20"/>
              </w:rPr>
              <w:t>Review date</w:t>
            </w:r>
          </w:p>
        </w:tc>
        <w:tc>
          <w:tcPr>
            <w:tcW w:type="dxa" w:w="7200"/>
            <w:tcMar>
              <w:top w:w="80" w:type="dxa"/>
              <w:start w:w="120" w:type="dxa"/>
              <w:bottom w:w="80" w:type="dxa"/>
              <w:end w:w="120" w:type="dxa"/>
            </w:tcMar>
            <w:vAlign w:val="center"/>
          </w:tcPr>
          <w:p>
            <w:r>
              <w:rPr>
                <w:rFonts w:ascii="Calibri" w:hAnsi="Calibri"/>
                <w:color w:val="1F2937"/>
                <w:sz w:val="20"/>
              </w:rPr>
              <w:t>August 28, 2026</w:t>
            </w:r>
          </w:p>
        </w:tc>
      </w:tr>
      <w:tr>
        <w:tc>
          <w:tcPr>
            <w:tcW w:type="dxa" w:w="2160"/>
            <w:shd w:fill="F2F4F7"/>
            <w:tcMar>
              <w:top w:w="80" w:type="dxa"/>
              <w:start w:w="120" w:type="dxa"/>
              <w:bottom w:w="80" w:type="dxa"/>
              <w:end w:w="120" w:type="dxa"/>
            </w:tcMar>
            <w:vAlign w:val="center"/>
          </w:tcPr>
          <w:p>
            <w:r>
              <w:rPr>
                <w:rFonts w:ascii="Calibri" w:hAnsi="Calibri"/>
                <w:b/>
                <w:color w:val="0B2545"/>
                <w:sz w:val="20"/>
              </w:rPr>
              <w:t>Scope</w:t>
            </w:r>
          </w:p>
        </w:tc>
        <w:tc>
          <w:tcPr>
            <w:tcW w:type="dxa" w:w="7200"/>
            <w:tcMar>
              <w:top w:w="80" w:type="dxa"/>
              <w:start w:w="120" w:type="dxa"/>
              <w:bottom w:w="80" w:type="dxa"/>
              <w:end w:w="120" w:type="dxa"/>
            </w:tcMar>
            <w:vAlign w:val="center"/>
          </w:tcPr>
          <w:p>
            <w:r>
              <w:rPr>
                <w:rFonts w:ascii="Calibri" w:hAnsi="Calibri"/>
                <w:color w:val="1F2937"/>
                <w:sz w:val="20"/>
              </w:rPr>
              <w:t>Next.js web-admin, Supabase database and Edge Functions</w:t>
            </w:r>
          </w:p>
        </w:tc>
      </w:tr>
      <w:tr>
        <w:tc>
          <w:tcPr>
            <w:tcW w:type="dxa" w:w="2160"/>
            <w:shd w:fill="F2F4F7"/>
            <w:tcMar>
              <w:top w:w="80" w:type="dxa"/>
              <w:start w:w="120" w:type="dxa"/>
              <w:bottom w:w="80" w:type="dxa"/>
              <w:end w:w="120" w:type="dxa"/>
            </w:tcMar>
            <w:vAlign w:val="center"/>
          </w:tcPr>
          <w:p>
            <w:r>
              <w:rPr>
                <w:rFonts w:ascii="Calibri" w:hAnsi="Calibri"/>
                <w:b/>
                <w:color w:val="0B2545"/>
                <w:sz w:val="20"/>
              </w:rPr>
              <w:t>Review mode</w:t>
            </w:r>
          </w:p>
        </w:tc>
        <w:tc>
          <w:tcPr>
            <w:tcW w:type="dxa" w:w="7200"/>
            <w:tcMar>
              <w:top w:w="80" w:type="dxa"/>
              <w:start w:w="120" w:type="dxa"/>
              <w:bottom w:w="80" w:type="dxa"/>
              <w:end w:w="120" w:type="dxa"/>
            </w:tcMar>
            <w:vAlign w:val="center"/>
          </w:tcPr>
          <w:p>
            <w:r>
              <w:rPr>
                <w:rFonts w:ascii="Calibri" w:hAnsi="Calibri"/>
                <w:color w:val="1F2937"/>
                <w:sz w:val="20"/>
              </w:rPr>
              <w:t>Read-only; hosted data and deployments untouched</w:t>
            </w:r>
          </w:p>
        </w:tc>
      </w:tr>
      <w:tr>
        <w:tc>
          <w:tcPr>
            <w:tcW w:type="dxa" w:w="2160"/>
            <w:shd w:fill="F2F4F7"/>
            <w:tcMar>
              <w:top w:w="80" w:type="dxa"/>
              <w:start w:w="120" w:type="dxa"/>
              <w:bottom w:w="80" w:type="dxa"/>
              <w:end w:w="120" w:type="dxa"/>
            </w:tcMar>
            <w:vAlign w:val="center"/>
          </w:tcPr>
          <w:p>
            <w:r>
              <w:rPr>
                <w:rFonts w:ascii="Calibri" w:hAnsi="Calibri"/>
                <w:b/>
                <w:color w:val="0B2545"/>
                <w:sz w:val="20"/>
              </w:rPr>
              <w:t>Overall posture</w:t>
            </w:r>
          </w:p>
        </w:tc>
        <w:tc>
          <w:tcPr>
            <w:tcW w:type="dxa" w:w="7200"/>
            <w:tcMar>
              <w:top w:w="80" w:type="dxa"/>
              <w:start w:w="120" w:type="dxa"/>
              <w:bottom w:w="80" w:type="dxa"/>
              <w:end w:w="120" w:type="dxa"/>
            </w:tcMar>
            <w:vAlign w:val="center"/>
          </w:tcPr>
          <w:p>
            <w:r>
              <w:rPr>
                <w:rFonts w:ascii="Calibri" w:hAnsi="Calibri"/>
                <w:color w:val="1F2937"/>
                <w:sz w:val="20"/>
              </w:rPr>
              <w:t>Unsafe for production until P0 findings are remediated</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40"/>
            </w:pPr>
            <w:r>
              <w:rPr>
                <w:rFonts w:ascii="Calibri" w:hAnsi="Calibri"/>
                <w:b/>
                <w:color w:val="9B1C1C"/>
                <w:sz w:val="20"/>
              </w:rPr>
              <w:t xml:space="preserve">OVERALL CONCLUSION  </w:t>
            </w:r>
            <w:r>
              <w:rPr>
                <w:rFonts w:ascii="Calibri" w:hAnsi="Calibri"/>
                <w:color w:val="1F2937"/>
                <w:sz w:val="21"/>
              </w:rPr>
              <w:t>Several independent paths allow anonymous or ordinary authenticated users to bypass farm boundaries, escalate roles, and execute privileged lifecycle operations. Database-level exposure means UI restrictions cannot provide an effective security boundary.</w:t>
            </w:r>
          </w:p>
        </w:tc>
      </w:tr>
    </w:tbl>
    <w:p>
      <w:pPr>
        <w:spacing w:after="0" w:before="40"/>
      </w:pPr>
    </w:p>
    <w:p>
      <w:pPr>
        <w:pStyle w:val="Heading1"/>
      </w:pPr>
      <w:r>
        <w:t>Executive Summary</w:t>
      </w:r>
    </w:p>
    <w:p>
      <w:pPr>
        <w:keepLines/>
      </w:pPr>
      <w:r>
        <w:rPr>
          <w:rFonts w:ascii="Calibri" w:hAnsi="Calibri"/>
          <w:i w:val="0"/>
          <w:color w:val="1F2937"/>
        </w:rPr>
        <w:t>The review found five critical classes of database authorization failure and several high-severity application and Edge Function bypasses. The most urgent problem is direct role escalation: authenticated users can write global roles and farm memberships through permissive RLS policies. That escalation compounds broad table grants, unscoped service-role usage, and owner-privileged RPCs.</w:t>
      </w:r>
    </w:p>
    <w:tbl>
      <w:tblPr>
        <w:tblStyle w:val="TableGrid"/>
        <w:tblW w:type="dxa" w:w="9360"/>
        <w:jc w:val="left"/>
        <w:tblLayout w:type="fixed"/>
        <w:tblLook w:firstColumn="1" w:firstRow="1" w:lastColumn="0" w:lastRow="0" w:noHBand="0" w:noVBand="1" w:val="04A0"/>
        <w:tblInd w:w="120" w:type="dxa"/>
      </w:tblPr>
      <w:tblGrid>
        <w:gridCol w:w="1440"/>
        <w:gridCol w:w="900"/>
        <w:gridCol w:w="7020"/>
      </w:tblGrid>
      <w:tr>
        <w:trPr>
          <w:tblHeader w:val="true"/>
        </w:trPr>
        <w:tc>
          <w:tcPr>
            <w:tcW w:type="dxa" w:w="1440"/>
            <w:shd w:fill="0B2545"/>
            <w:tcMar>
              <w:top w:w="80" w:type="dxa"/>
              <w:start w:w="120" w:type="dxa"/>
              <w:bottom w:w="80" w:type="dxa"/>
              <w:end w:w="120" w:type="dxa"/>
            </w:tcMar>
            <w:vAlign w:val="center"/>
          </w:tcPr>
          <w:p>
            <w:r>
              <w:rPr>
                <w:rFonts w:ascii="Calibri" w:hAnsi="Calibri"/>
                <w:b/>
                <w:color w:val="FFFFFF"/>
                <w:sz w:val="20"/>
              </w:rPr>
              <w:t>Severity</w:t>
            </w:r>
          </w:p>
        </w:tc>
        <w:tc>
          <w:tcPr>
            <w:tcW w:type="dxa" w:w="900"/>
            <w:shd w:fill="0B2545"/>
            <w:tcMar>
              <w:top w:w="80" w:type="dxa"/>
              <w:start w:w="120" w:type="dxa"/>
              <w:bottom w:w="80" w:type="dxa"/>
              <w:end w:w="120" w:type="dxa"/>
            </w:tcMar>
            <w:vAlign w:val="center"/>
          </w:tcPr>
          <w:p>
            <w:r>
              <w:rPr>
                <w:rFonts w:ascii="Calibri" w:hAnsi="Calibri"/>
                <w:b/>
                <w:color w:val="FFFFFF"/>
                <w:sz w:val="20"/>
              </w:rPr>
              <w:t>Count</w:t>
            </w:r>
          </w:p>
        </w:tc>
        <w:tc>
          <w:tcPr>
            <w:tcW w:type="dxa" w:w="7020"/>
            <w:shd w:fill="0B2545"/>
            <w:tcMar>
              <w:top w:w="80" w:type="dxa"/>
              <w:start w:w="120" w:type="dxa"/>
              <w:bottom w:w="80" w:type="dxa"/>
              <w:end w:w="120" w:type="dxa"/>
            </w:tcMar>
            <w:vAlign w:val="center"/>
          </w:tcPr>
          <w:p>
            <w:r>
              <w:rPr>
                <w:rFonts w:ascii="Calibri" w:hAnsi="Calibri"/>
                <w:b/>
                <w:color w:val="FFFFFF"/>
                <w:sz w:val="20"/>
              </w:rPr>
              <w:t>Primary risk</w:t>
            </w:r>
          </w:p>
        </w:tc>
      </w:tr>
      <w:tr>
        <w:tc>
          <w:tcPr>
            <w:tcW w:type="dxa" w:w="1440"/>
            <w:shd w:fill="FDECEC"/>
            <w:tcMar>
              <w:top w:w="80" w:type="dxa"/>
              <w:start w:w="120" w:type="dxa"/>
              <w:bottom w:w="80" w:type="dxa"/>
              <w:end w:w="120" w:type="dxa"/>
            </w:tcMar>
            <w:vAlign w:val="center"/>
          </w:tcPr>
          <w:p>
            <w:r>
              <w:rPr>
                <w:rFonts w:ascii="Calibri" w:hAnsi="Calibri"/>
                <w:b/>
                <w:color w:val="1F2937"/>
                <w:sz w:val="19"/>
              </w:rPr>
              <w:t>Critical</w:t>
            </w:r>
          </w:p>
        </w:tc>
        <w:tc>
          <w:tcPr>
            <w:tcW w:type="dxa" w:w="900"/>
            <w:shd w:fill="FDECEC"/>
            <w:tcMar>
              <w:top w:w="80" w:type="dxa"/>
              <w:start w:w="120" w:type="dxa"/>
              <w:bottom w:w="80" w:type="dxa"/>
              <w:end w:w="120" w:type="dxa"/>
            </w:tcMar>
            <w:vAlign w:val="center"/>
          </w:tcPr>
          <w:p>
            <w:r>
              <w:rPr>
                <w:rFonts w:ascii="Calibri" w:hAnsi="Calibri"/>
                <w:b w:val="0"/>
                <w:color w:val="1F2937"/>
                <w:sz w:val="19"/>
              </w:rPr>
              <w:t>5</w:t>
            </w:r>
          </w:p>
        </w:tc>
        <w:tc>
          <w:tcPr>
            <w:tcW w:type="dxa" w:w="7020"/>
            <w:shd w:fill="FDECEC"/>
            <w:tcMar>
              <w:top w:w="80" w:type="dxa"/>
              <w:start w:w="120" w:type="dxa"/>
              <w:bottom w:w="80" w:type="dxa"/>
              <w:end w:w="120" w:type="dxa"/>
            </w:tcMar>
            <w:vAlign w:val="center"/>
          </w:tcPr>
          <w:p>
            <w:r>
              <w:rPr>
                <w:rFonts w:ascii="Calibri" w:hAnsi="Calibri"/>
                <w:b w:val="0"/>
                <w:color w:val="1F2937"/>
                <w:sz w:val="19"/>
              </w:rPr>
              <w:t>Role escalation, anonymous CRUD, unscoped owner-rights RPCs/views</w:t>
            </w:r>
          </w:p>
        </w:tc>
      </w:tr>
      <w:tr>
        <w:tc>
          <w:tcPr>
            <w:tcW w:type="dxa" w:w="1440"/>
            <w:shd w:fill="FFF8E1"/>
            <w:tcMar>
              <w:top w:w="80" w:type="dxa"/>
              <w:start w:w="120" w:type="dxa"/>
              <w:bottom w:w="80" w:type="dxa"/>
              <w:end w:w="120" w:type="dxa"/>
            </w:tcMar>
            <w:vAlign w:val="center"/>
          </w:tcPr>
          <w:p>
            <w:r>
              <w:rPr>
                <w:rFonts w:ascii="Calibri" w:hAnsi="Calibri"/>
                <w:b/>
                <w:color w:val="1F2937"/>
                <w:sz w:val="19"/>
              </w:rPr>
              <w:t>High</w:t>
            </w:r>
          </w:p>
        </w:tc>
        <w:tc>
          <w:tcPr>
            <w:tcW w:type="dxa" w:w="900"/>
            <w:shd w:fill="FFF8E1"/>
            <w:tcMar>
              <w:top w:w="80" w:type="dxa"/>
              <w:start w:w="120" w:type="dxa"/>
              <w:bottom w:w="80" w:type="dxa"/>
              <w:end w:w="120" w:type="dxa"/>
            </w:tcMar>
            <w:vAlign w:val="center"/>
          </w:tcPr>
          <w:p>
            <w:r>
              <w:rPr>
                <w:rFonts w:ascii="Calibri" w:hAnsi="Calibri"/>
                <w:b w:val="0"/>
                <w:color w:val="1F2937"/>
                <w:sz w:val="19"/>
              </w:rPr>
              <w:t>4</w:t>
            </w:r>
          </w:p>
        </w:tc>
        <w:tc>
          <w:tcPr>
            <w:tcW w:type="dxa" w:w="7020"/>
            <w:shd w:fill="FFF8E1"/>
            <w:tcMar>
              <w:top w:w="80" w:type="dxa"/>
              <w:start w:w="120" w:type="dxa"/>
              <w:bottom w:w="80" w:type="dxa"/>
              <w:end w:w="120" w:type="dxa"/>
            </w:tcMar>
            <w:vAlign w:val="center"/>
          </w:tcPr>
          <w:p>
            <w:r>
              <w:rPr>
                <w:rFonts w:ascii="Calibri" w:hAnsi="Calibri"/>
                <w:b w:val="0"/>
                <w:color w:val="1F2937"/>
                <w:sz w:val="19"/>
              </w:rPr>
              <w:t>Cross-farm service-role actions, feed-ticket and document IDOR</w:t>
            </w:r>
          </w:p>
        </w:tc>
      </w:tr>
      <w:tr>
        <w:tc>
          <w:tcPr>
            <w:tcW w:type="dxa" w:w="1440"/>
            <w:shd w:fill="E8EEF5"/>
            <w:tcMar>
              <w:top w:w="80" w:type="dxa"/>
              <w:start w:w="120" w:type="dxa"/>
              <w:bottom w:w="80" w:type="dxa"/>
              <w:end w:w="120" w:type="dxa"/>
            </w:tcMar>
            <w:vAlign w:val="center"/>
          </w:tcPr>
          <w:p>
            <w:r>
              <w:rPr>
                <w:rFonts w:ascii="Calibri" w:hAnsi="Calibri"/>
                <w:b/>
                <w:color w:val="1F2937"/>
                <w:sz w:val="19"/>
              </w:rPr>
              <w:t>Medium</w:t>
            </w:r>
          </w:p>
        </w:tc>
        <w:tc>
          <w:tcPr>
            <w:tcW w:type="dxa" w:w="900"/>
            <w:shd w:fill="E8EEF5"/>
            <w:tcMar>
              <w:top w:w="80" w:type="dxa"/>
              <w:start w:w="120" w:type="dxa"/>
              <w:bottom w:w="80" w:type="dxa"/>
              <w:end w:w="120" w:type="dxa"/>
            </w:tcMar>
            <w:vAlign w:val="center"/>
          </w:tcPr>
          <w:p>
            <w:r>
              <w:rPr>
                <w:rFonts w:ascii="Calibri" w:hAnsi="Calibri"/>
                <w:b w:val="0"/>
                <w:color w:val="1F2937"/>
                <w:sz w:val="19"/>
              </w:rPr>
              <w:t>1</w:t>
            </w:r>
          </w:p>
        </w:tc>
        <w:tc>
          <w:tcPr>
            <w:tcW w:type="dxa" w:w="7020"/>
            <w:shd w:fill="E8EEF5"/>
            <w:tcMar>
              <w:top w:w="80" w:type="dxa"/>
              <w:start w:w="120" w:type="dxa"/>
              <w:bottom w:w="80" w:type="dxa"/>
              <w:end w:w="120" w:type="dxa"/>
            </w:tcMar>
            <w:vAlign w:val="center"/>
          </w:tcPr>
          <w:p>
            <w:r>
              <w:rPr>
                <w:rFonts w:ascii="Calibri" w:hAnsi="Calibri"/>
                <w:b w:val="0"/>
                <w:color w:val="1F2937"/>
                <w:sz w:val="19"/>
              </w:rPr>
              <w:t>Cross-farm role leakage into historical-entry privilege</w:t>
            </w:r>
          </w:p>
        </w:tc>
      </w:tr>
    </w:tbl>
    <w:p>
      <w:pPr>
        <w:pStyle w:val="Heading1"/>
      </w:pPr>
      <w:r>
        <w:t>Scope and Method</w:t>
      </w:r>
    </w:p>
    <w:p>
      <w:pPr>
        <w:keepLines/>
        <w:numPr>
          <w:ilvl w:val="0"/>
          <w:numId w:val="10"/>
        </w:numPr>
        <w:spacing w:after="160" w:line="280" w:lineRule="auto"/>
      </w:pPr>
      <w:r>
        <w:rPr>
          <w:rFonts w:ascii="Calibri" w:hAnsi="Calibri"/>
          <w:color w:val="1F2937"/>
        </w:rPr>
        <w:t>Mapped authentication, role, membership, action-permission, and farm-scope handling across the Next.js application.</w:t>
      </w:r>
    </w:p>
    <w:p>
      <w:pPr>
        <w:keepLines/>
        <w:numPr>
          <w:ilvl w:val="0"/>
          <w:numId w:val="10"/>
        </w:numPr>
        <w:spacing w:after="160" w:line="280" w:lineRule="auto"/>
      </w:pPr>
      <w:r>
        <w:rPr>
          <w:rFonts w:ascii="Calibri" w:hAnsi="Calibri"/>
          <w:color w:val="1F2937"/>
        </w:rPr>
        <w:t>Reviewed API routes, Server Actions, service-role usage, privileged correction/void/archive workflows, and direct-object references.</w:t>
      </w:r>
    </w:p>
    <w:p>
      <w:pPr>
        <w:keepLines/>
        <w:numPr>
          <w:ilvl w:val="0"/>
          <w:numId w:val="10"/>
        </w:numPr>
        <w:spacing w:after="160" w:line="280" w:lineRule="auto"/>
      </w:pPr>
      <w:r>
        <w:rPr>
          <w:rFonts w:ascii="Calibri" w:hAnsi="Calibri"/>
          <w:color w:val="1F2937"/>
        </w:rPr>
        <w:t>Reviewed Supabase schema, RLS policies, grants, SECURITY DEFINER functions, Edge Functions, and membership-role resolution.</w:t>
      </w:r>
    </w:p>
    <w:p>
      <w:pPr>
        <w:keepLines/>
        <w:numPr>
          <w:ilvl w:val="0"/>
          <w:numId w:val="10"/>
        </w:numPr>
        <w:spacing w:after="160" w:line="280" w:lineRule="auto"/>
      </w:pPr>
      <w:r>
        <w:rPr>
          <w:rFonts w:ascii="Calibri" w:hAnsi="Calibri"/>
          <w:color w:val="1F2937"/>
        </w:rPr>
        <w:t>Ran safe static checks and read-only local database inspection. No hosted data, deployments, migrations, or source files were changed.</w:t>
      </w:r>
    </w:p>
    <w:p>
      <w:pPr>
        <w:keepLines/>
        <w:numPr>
          <w:ilvl w:val="0"/>
          <w:numId w:val="10"/>
        </w:numPr>
        <w:spacing w:after="160" w:line="280" w:lineRule="auto"/>
      </w:pPr>
      <w:r>
        <w:rPr>
          <w:rFonts w:ascii="Calibri" w:hAnsi="Calibri"/>
          <w:color w:val="1F2937"/>
        </w:rPr>
        <w:t>Treated the dirty working tree as intentional and preserved it.</w:t>
      </w:r>
    </w:p>
    <w:p>
      <w:pPr>
        <w:pStyle w:val="Heading1"/>
      </w:pPr>
      <w:r>
        <w:t>Severity-Ordered Findings</w:t>
      </w:r>
    </w:p>
    <w:p>
      <w:pPr>
        <w:pStyle w:val="Heading2"/>
        <w:keepNext/>
      </w:pPr>
      <w:r>
        <w:rPr>
          <w:rFonts w:ascii="Calibri" w:hAnsi="Calibri"/>
          <w:b/>
          <w:color w:val="9B1C1C"/>
          <w:sz w:val="26"/>
        </w:rPr>
        <w:t>1. CRITICAL - Authenticated users can assign global roles or privileged farm memberships</w:t>
      </w:r>
    </w:p>
    <w:p>
      <w:pPr>
        <w:keepLines/>
      </w:pPr>
      <w:r>
        <w:rPr>
          <w:rFonts w:ascii="Calibri" w:hAnsi="Calibri"/>
          <w:i w:val="0"/>
          <w:color w:val="1F2937"/>
        </w:rPr>
        <w:t>The declared and locally installed policies let authenticated users write security-sensitive role and membership records. Permissive policies are ORed, so intended admin-only policies do not negate broader policies.</w:t>
      </w:r>
    </w:p>
    <w:p>
      <w:pPr>
        <w:pStyle w:val="Heading3"/>
        <w:keepNext/>
      </w:pPr>
      <w:r>
        <w:rPr>
          <w:rFonts w:ascii="Calibri" w:hAnsi="Calibri"/>
          <w:b/>
          <w:color w:val="1F4D78"/>
          <w:sz w:val="24"/>
        </w:rPr>
        <w:t>Evidence</w:t>
      </w:r>
    </w:p>
    <w:p>
      <w:pPr>
        <w:keepLines/>
        <w:numPr>
          <w:ilvl w:val="0"/>
          <w:numId w:val="10"/>
        </w:numPr>
        <w:spacing w:after="160" w:line="280" w:lineRule="auto"/>
      </w:pPr>
      <w:r>
        <w:rPr>
          <w:rFonts w:ascii="Calibri" w:hAnsi="Calibri"/>
          <w:color w:val="1F2937"/>
        </w:rPr>
        <w:t>supabase/migrations/20260827181000_hosted_schema_baseline.sql:8415 and :8431 - self-service user_roles INSERT/UPDATE.</w:t>
      </w:r>
    </w:p>
    <w:p>
      <w:pPr>
        <w:keepLines/>
        <w:numPr>
          <w:ilvl w:val="0"/>
          <w:numId w:val="10"/>
        </w:numPr>
        <w:spacing w:after="160" w:line="280" w:lineRule="auto"/>
      </w:pPr>
      <w:r>
        <w:rPr>
          <w:rFonts w:ascii="Calibri" w:hAnsi="Calibri"/>
          <w:color w:val="1F2937"/>
        </w:rPr>
        <w:t>Same file :8494 and :8518 - broader user_roles INSERT/UPDATE with true predicates.</w:t>
      </w:r>
    </w:p>
    <w:p>
      <w:pPr>
        <w:keepLines/>
        <w:numPr>
          <w:ilvl w:val="0"/>
          <w:numId w:val="10"/>
        </w:numPr>
        <w:spacing w:after="160" w:line="280" w:lineRule="auto"/>
      </w:pPr>
      <w:r>
        <w:rPr>
          <w:rFonts w:ascii="Calibri" w:hAnsi="Calibri"/>
          <w:color w:val="1F2937"/>
        </w:rPr>
        <w:t>Same file :8407, :8423, :8841, and :8860 - membership writes constrain only user_id.</w:t>
      </w:r>
    </w:p>
    <w:p>
      <w:pPr>
        <w:keepLines/>
        <w:numPr>
          <w:ilvl w:val="0"/>
          <w:numId w:val="10"/>
        </w:numPr>
        <w:spacing w:after="160" w:line="280" w:lineRule="auto"/>
      </w:pPr>
      <w:r>
        <w:rPr>
          <w:rFonts w:ascii="Calibri" w:hAnsi="Calibri"/>
          <w:color w:val="1F2937"/>
        </w:rPr>
        <w:t>Same file :1542-1556 - is_admin() trusts user_roles; :964-977 - can_write_farm() trusts active manager/admin membership.</w:t>
      </w:r>
    </w:p>
    <w:p>
      <w:pPr>
        <w:keepLines/>
        <w:spacing w:before="40"/>
      </w:pPr>
      <w:r>
        <w:rPr>
          <w:rFonts w:ascii="Calibri" w:hAnsi="Calibri"/>
          <w:b/>
          <w:color w:val="1F2937"/>
        </w:rPr>
        <w:t xml:space="preserve">Exploit/reasoning: </w:t>
      </w:r>
      <w:r>
        <w:rPr>
          <w:rFonts w:ascii="Calibri" w:hAnsi="Calibri"/>
          <w:i w:val="0"/>
          <w:color w:val="1F2937"/>
        </w:rPr>
        <w:t>As an ordinary authenticated user, enumerate the admin role UUID, insert or update user_roles for the attacker UID, or create an active membership for an arbitrary farm using a privileged role_id. The next is_admin()/can_write_farm() evaluation succeeds. An inactive user can similarly set is_active back to true.</w:t>
      </w:r>
    </w:p>
    <w:p>
      <w:pPr>
        <w:keepLines/>
        <w:spacing w:before="40"/>
      </w:pPr>
      <w:r>
        <w:rPr>
          <w:rFonts w:ascii="Calibri" w:hAnsi="Calibri"/>
          <w:b/>
          <w:color w:val="1F2937"/>
        </w:rPr>
        <w:t xml:space="preserve">Affected actors: </w:t>
      </w:r>
      <w:r>
        <w:rPr>
          <w:rFonts w:ascii="Calibri" w:hAnsi="Calibri"/>
          <w:i w:val="0"/>
          <w:color w:val="1F2937"/>
        </w:rPr>
        <w:t>Every authenticated account, including users with no membership or only inactive membership; arbitrary target users are exposed by the broad user_roles policies.</w:t>
      </w:r>
    </w:p>
    <w:p>
      <w:pPr>
        <w:keepLines/>
        <w:spacing w:before="40"/>
      </w:pPr>
      <w:r>
        <w:rPr>
          <w:rFonts w:ascii="Calibri" w:hAnsi="Calibri"/>
          <w:b/>
          <w:color w:val="1F2937"/>
        </w:rPr>
        <w:t xml:space="preserve">Recommended remediation: </w:t>
      </w:r>
      <w:r>
        <w:rPr>
          <w:rFonts w:ascii="Calibri" w:hAnsi="Calibri"/>
          <w:i w:val="0"/>
          <w:color w:val="1F2937"/>
        </w:rPr>
        <w:t>Remove all self/broad write policies. Make role and membership assignments admin-only through one audited path that validates actor authority, target scope, active status, and role ceiling. Add transactional denial tests for every column that can change scope or privilege.</w:t>
      </w:r>
    </w:p>
    <w:p>
      <w:pPr>
        <w:pStyle w:val="Heading2"/>
        <w:keepNext/>
      </w:pPr>
      <w:r>
        <w:rPr>
          <w:rFonts w:ascii="Calibri" w:hAnsi="Calibri"/>
          <w:b/>
          <w:color w:val="9B1C1C"/>
          <w:sz w:val="26"/>
        </w:rPr>
        <w:t>2. CRITICAL - Permissive RLS policies neutralize farm scoping</w:t>
      </w:r>
    </w:p>
    <w:p>
      <w:pPr>
        <w:keepLines/>
      </w:pPr>
      <w:r>
        <w:rPr>
          <w:rFonts w:ascii="Calibri" w:hAnsi="Calibri"/>
          <w:i w:val="0"/>
          <w:color w:val="1F2937"/>
        </w:rPr>
        <w:t>Core tables carry global authenticated true policies alongside scoped policies. PostgreSQL allows a row when any permissive policy succeeds, so can_access_farm/can_write_farm restrictions are ineffective.</w:t>
      </w:r>
    </w:p>
    <w:p>
      <w:pPr>
        <w:pStyle w:val="Heading3"/>
        <w:keepNext/>
      </w:pPr>
      <w:r>
        <w:rPr>
          <w:rFonts w:ascii="Calibri" w:hAnsi="Calibri"/>
          <w:b/>
          <w:color w:val="1F4D78"/>
          <w:sz w:val="24"/>
        </w:rPr>
        <w:t>Evidence</w:t>
      </w:r>
    </w:p>
    <w:p>
      <w:pPr>
        <w:keepLines/>
        <w:numPr>
          <w:ilvl w:val="0"/>
          <w:numId w:val="10"/>
        </w:numPr>
        <w:spacing w:after="160" w:line="280" w:lineRule="auto"/>
      </w:pPr>
      <w:r>
        <w:rPr>
          <w:rFonts w:ascii="Calibri" w:hAnsi="Calibri"/>
          <w:color w:val="1F2937"/>
        </w:rPr>
        <w:t>Baseline :8533-8537 - barns authenticated SELECT/write true.</w:t>
      </w:r>
    </w:p>
    <w:p>
      <w:pPr>
        <w:keepLines/>
        <w:numPr>
          <w:ilvl w:val="0"/>
          <w:numId w:val="10"/>
        </w:numPr>
        <w:spacing w:after="160" w:line="280" w:lineRule="auto"/>
      </w:pPr>
      <w:r>
        <w:rPr>
          <w:rFonts w:ascii="Calibri" w:hAnsi="Calibri"/>
          <w:color w:val="1F2937"/>
        </w:rPr>
        <w:t>Baseline :8608-8612 - farms authenticated SELECT/write true.</w:t>
      </w:r>
    </w:p>
    <w:p>
      <w:pPr>
        <w:keepLines/>
        <w:numPr>
          <w:ilvl w:val="0"/>
          <w:numId w:val="10"/>
        </w:numPr>
        <w:spacing w:after="160" w:line="280" w:lineRule="auto"/>
      </w:pPr>
      <w:r>
        <w:rPr>
          <w:rFonts w:ascii="Calibri" w:hAnsi="Calibri"/>
          <w:color w:val="1F2937"/>
        </w:rPr>
        <w:t>Baseline :8652-8656 - flocks authenticated SELECT/write true.</w:t>
      </w:r>
    </w:p>
    <w:p>
      <w:pPr>
        <w:keepLines/>
        <w:numPr>
          <w:ilvl w:val="0"/>
          <w:numId w:val="10"/>
        </w:numPr>
        <w:spacing w:after="160" w:line="280" w:lineRule="auto"/>
      </w:pPr>
      <w:r>
        <w:rPr>
          <w:rFonts w:ascii="Calibri" w:hAnsi="Calibri"/>
          <w:color w:val="1F2937"/>
        </w:rPr>
        <w:t>Baseline :8761-8765 - placements authenticated SELECT/write true.</w:t>
      </w:r>
    </w:p>
    <w:p>
      <w:pPr>
        <w:keepLines/>
        <w:numPr>
          <w:ilvl w:val="0"/>
          <w:numId w:val="10"/>
        </w:numPr>
        <w:spacing w:after="160" w:line="280" w:lineRule="auto"/>
      </w:pPr>
      <w:r>
        <w:rPr>
          <w:rFonts w:ascii="Calibri" w:hAnsi="Calibri"/>
          <w:color w:val="1F2937"/>
        </w:rPr>
        <w:t>Baseline :8688-8738 - daily, mortality, and weight logs allow all-row authenticated CRUD.</w:t>
      </w:r>
    </w:p>
    <w:p>
      <w:pPr>
        <w:keepLines/>
        <w:numPr>
          <w:ilvl w:val="0"/>
          <w:numId w:val="10"/>
        </w:numPr>
        <w:spacing w:after="160" w:line="280" w:lineRule="auto"/>
      </w:pPr>
      <w:r>
        <w:rPr>
          <w:rFonts w:ascii="Calibri" w:hAnsi="Calibri"/>
          <w:color w:val="1F2937"/>
        </w:rPr>
        <w:t>Anonymous global SELECT policies also exist at :8529, :8604, :8648, and :8757.</w:t>
      </w:r>
    </w:p>
    <w:p>
      <w:pPr>
        <w:keepLines/>
        <w:spacing w:before="40"/>
      </w:pPr>
      <w:r>
        <w:rPr>
          <w:rFonts w:ascii="Calibri" w:hAnsi="Calibri"/>
          <w:b/>
          <w:color w:val="1F2937"/>
        </w:rPr>
        <w:t xml:space="preserve">Exploit/reasoning: </w:t>
      </w:r>
      <w:r>
        <w:rPr>
          <w:rFonts w:ascii="Calibri" w:hAnsi="Calibri"/>
          <w:i w:val="0"/>
          <w:color w:val="1F2937"/>
        </w:rPr>
        <w:t>Use the anonymous key to enumerate core farm entities, or any valid user JWT to select, insert, update, or delete rows belonging to an unrelated farm. The true policy succeeds before scope-specific predicates matter.</w:t>
      </w:r>
    </w:p>
    <w:p>
      <w:pPr>
        <w:keepLines/>
        <w:spacing w:before="40"/>
      </w:pPr>
      <w:r>
        <w:rPr>
          <w:rFonts w:ascii="Calibri" w:hAnsi="Calibri"/>
          <w:b/>
          <w:color w:val="1F2937"/>
        </w:rPr>
        <w:t xml:space="preserve">Affected actors: </w:t>
      </w:r>
      <w:r>
        <w:rPr>
          <w:rFonts w:ascii="Calibri" w:hAnsi="Calibri"/>
          <w:i w:val="0"/>
          <w:color w:val="1F2937"/>
        </w:rPr>
        <w:t>Anonymous users for core reads; all authenticated users, including unscoped and inactive members, for cross-farm writes and logs.</w:t>
      </w:r>
    </w:p>
    <w:p>
      <w:pPr>
        <w:keepLines/>
        <w:spacing w:before="40"/>
      </w:pPr>
      <w:r>
        <w:rPr>
          <w:rFonts w:ascii="Calibri" w:hAnsi="Calibri"/>
          <w:b/>
          <w:color w:val="1F2937"/>
        </w:rPr>
        <w:t xml:space="preserve">Recommended remediation: </w:t>
      </w:r>
      <w:r>
        <w:rPr>
          <w:rFonts w:ascii="Calibri" w:hAnsi="Calibri"/>
          <w:i w:val="0"/>
          <w:color w:val="1F2937"/>
        </w:rPr>
        <w:t>Drop every legacy true and anonymous operational policy. Define farm-derived predicates for every operation and ensure WITH CHECK prevents moving a row to an unauthorized farm.</w:t>
      </w:r>
    </w:p>
    <w:p>
      <w:pPr>
        <w:pStyle w:val="Heading2"/>
        <w:keepNext/>
      </w:pPr>
      <w:r>
        <w:rPr>
          <w:rFonts w:ascii="Calibri" w:hAnsi="Calibri"/>
          <w:b/>
          <w:color w:val="9B1C1C"/>
          <w:sz w:val="26"/>
        </w:rPr>
        <w:t>3. CRITICAL - Eleven public tables lack RLS and grant anonymous/authenticated CRUD</w:t>
      </w:r>
    </w:p>
    <w:p>
      <w:pPr>
        <w:keepLines/>
      </w:pPr>
      <w:r>
        <w:rPr>
          <w:rFonts w:ascii="Calibri" w:hAnsi="Calibri"/>
          <w:i w:val="0"/>
          <w:color w:val="1F2937"/>
        </w:rPr>
        <w:t>Schema inventory found exactly eleven public tables with no ENABLE RLS while both anon and authenticated receive broad table privileges.</w:t>
      </w:r>
    </w:p>
    <w:p>
      <w:pPr>
        <w:pStyle w:val="Heading3"/>
        <w:keepNext/>
      </w:pPr>
      <w:r>
        <w:rPr>
          <w:rFonts w:ascii="Calibri" w:hAnsi="Calibri"/>
          <w:b/>
          <w:color w:val="1F4D78"/>
          <w:sz w:val="24"/>
        </w:rPr>
        <w:t>Evidence</w:t>
      </w:r>
    </w:p>
    <w:p>
      <w:pPr>
        <w:keepLines/>
        <w:numPr>
          <w:ilvl w:val="0"/>
          <w:numId w:val="10"/>
        </w:numPr>
        <w:spacing w:after="160" w:line="280" w:lineRule="auto"/>
      </w:pPr>
      <w:r>
        <w:rPr>
          <w:rFonts w:ascii="Calibri" w:hAnsi="Calibri"/>
          <w:color w:val="1F2937"/>
        </w:rPr>
        <w:t>placement_closeouts (:1197; grants :9385-9386), activity_log (:5129; :11045-11046), app_users (:5184; :11058-11059), core_users (:5304; :11092-11093).</w:t>
      </w:r>
    </w:p>
    <w:p>
      <w:pPr>
        <w:keepLines/>
        <w:numPr>
          <w:ilvl w:val="0"/>
          <w:numId w:val="10"/>
        </w:numPr>
        <w:spacing w:after="160" w:line="280" w:lineRule="auto"/>
      </w:pPr>
      <w:r>
        <w:rPr>
          <w:rFonts w:ascii="Calibri" w:hAnsi="Calibri"/>
          <w:color w:val="1F2937"/>
        </w:rPr>
        <w:t>document_archives (:5360; :11113-11114), farm_group_memberships (:5408; :11120-11121), feed_inventory_snapshots (:5647; :11183-11184).</w:t>
      </w:r>
    </w:p>
    <w:p>
      <w:pPr>
        <w:keepLines/>
        <w:numPr>
          <w:ilvl w:val="0"/>
          <w:numId w:val="10"/>
        </w:numPr>
        <w:spacing w:after="160" w:line="280" w:lineRule="auto"/>
      </w:pPr>
      <w:r>
        <w:rPr>
          <w:rFonts w:ascii="Calibri" w:hAnsi="Calibri"/>
          <w:color w:val="1F2937"/>
        </w:rPr>
        <w:t>feed_order_commitments (:5691; :11190-11191), livehaul_loads (:5940; :11239-11240), livehaul_schedule (:5980; :11246-11247), role_permissions (:6246; :11302-11303).</w:t>
      </w:r>
    </w:p>
    <w:p>
      <w:pPr>
        <w:keepLines/>
        <w:spacing w:before="40"/>
      </w:pPr>
      <w:r>
        <w:rPr>
          <w:rFonts w:ascii="Calibri" w:hAnsi="Calibri"/>
          <w:b/>
          <w:color w:val="1F2937"/>
        </w:rPr>
        <w:t xml:space="preserve">Exploit/reasoning: </w:t>
      </w:r>
      <w:r>
        <w:rPr>
          <w:rFonts w:ascii="Calibri" w:hAnsi="Calibri"/>
          <w:i w:val="0"/>
          <w:color w:val="1F2937"/>
        </w:rPr>
        <w:t>Direct PostgREST calls using the anonymous key can read or mutate these tables, subject only to ordinary database constraints. That enables membership creation, livehaul/closeout/feed tampering, document metadata disclosure, and audit deletion.</w:t>
      </w:r>
    </w:p>
    <w:p>
      <w:pPr>
        <w:keepLines/>
        <w:spacing w:before="40"/>
      </w:pPr>
      <w:r>
        <w:rPr>
          <w:rFonts w:ascii="Calibri" w:hAnsi="Calibri"/>
          <w:b/>
          <w:color w:val="1F2937"/>
        </w:rPr>
        <w:t xml:space="preserve">Affected actors: </w:t>
      </w:r>
      <w:r>
        <w:rPr>
          <w:rFonts w:ascii="Calibri" w:hAnsi="Calibri"/>
          <w:i w:val="0"/>
          <w:color w:val="1F2937"/>
        </w:rPr>
        <w:t>Anonymous and authenticated clients.</w:t>
      </w:r>
    </w:p>
    <w:p>
      <w:pPr>
        <w:keepLines/>
        <w:spacing w:before="40"/>
      </w:pPr>
      <w:r>
        <w:rPr>
          <w:rFonts w:ascii="Calibri" w:hAnsi="Calibri"/>
          <w:b/>
          <w:color w:val="1F2937"/>
        </w:rPr>
        <w:t xml:space="preserve">Recommended remediation: </w:t>
      </w:r>
      <w:r>
        <w:rPr>
          <w:rFonts w:ascii="Calibri" w:hAnsi="Calibri"/>
          <w:i w:val="0"/>
          <w:color w:val="1F2937"/>
        </w:rPr>
        <w:t>Enable and force RLS on all eleven tables, revoke blanket privileges, and add least-privilege policies. Treat audit records and role-permission tables as append-only or administrator-only.</w:t>
      </w:r>
    </w:p>
    <w:p>
      <w:pPr>
        <w:pStyle w:val="Heading2"/>
        <w:keepNext/>
      </w:pPr>
      <w:r>
        <w:rPr>
          <w:rFonts w:ascii="Calibri" w:hAnsi="Calibri"/>
          <w:b/>
          <w:color w:val="9B1C1C"/>
          <w:sz w:val="26"/>
        </w:rPr>
        <w:t>4. CRITICAL - Privileged SECURITY DEFINER RPCs are executable without authorization</w:t>
      </w:r>
    </w:p>
    <w:p>
      <w:pPr>
        <w:keepLines/>
      </w:pPr>
      <w:r>
        <w:rPr>
          <w:rFonts w:ascii="Calibri" w:hAnsi="Calibri"/>
          <w:i w:val="0"/>
          <w:color w:val="1F2937"/>
        </w:rPr>
        <w:t>Lifecycle functions execute with owner privileges, lack farm/role checks, and are granted directly to anon/authenticated roles. Some accept caller-supplied actor IDs.</w:t>
      </w:r>
    </w:p>
    <w:p>
      <w:pPr>
        <w:pStyle w:val="Heading3"/>
        <w:keepNext/>
      </w:pPr>
      <w:r>
        <w:rPr>
          <w:rFonts w:ascii="Calibri" w:hAnsi="Calibri"/>
          <w:b/>
          <w:color w:val="1F4D78"/>
          <w:sz w:val="24"/>
        </w:rPr>
        <w:t>Evidence</w:t>
      </w:r>
    </w:p>
    <w:p>
      <w:pPr>
        <w:keepLines/>
        <w:numPr>
          <w:ilvl w:val="0"/>
          <w:numId w:val="10"/>
        </w:numPr>
        <w:spacing w:after="160" w:line="280" w:lineRule="auto"/>
      </w:pPr>
      <w:r>
        <w:rPr>
          <w:rFonts w:ascii="Calibri" w:hAnsi="Calibri"/>
          <w:color w:val="1F2937"/>
        </w:rPr>
        <w:t>archive_flock_closeout definition :864-925 and grants :9334-9335.</w:t>
      </w:r>
    </w:p>
    <w:p>
      <w:pPr>
        <w:keepLines/>
        <w:numPr>
          <w:ilvl w:val="0"/>
          <w:numId w:val="10"/>
        </w:numPr>
        <w:spacing w:after="160" w:line="280" w:lineRule="auto"/>
      </w:pPr>
      <w:r>
        <w:rPr>
          <w:rFonts w:ascii="Calibri" w:hAnsi="Calibri"/>
          <w:color w:val="1F2937"/>
        </w:rPr>
        <w:t>cancel_scheduled_placement :984-1178 and grants :9359-9360.</w:t>
      </w:r>
    </w:p>
    <w:p>
      <w:pPr>
        <w:keepLines/>
        <w:numPr>
          <w:ilvl w:val="0"/>
          <w:numId w:val="10"/>
        </w:numPr>
        <w:spacing w:after="160" w:line="280" w:lineRule="auto"/>
      </w:pPr>
      <w:r>
        <w:rPr>
          <w:rFonts w:ascii="Calibri" w:hAnsi="Calibri"/>
          <w:color w:val="1F2937"/>
        </w:rPr>
        <w:t>make_placement_current/mark_barn_empty/mark_chicks_arrived from :1563 and grants :10639-10652.</w:t>
      </w:r>
    </w:p>
    <w:p>
      <w:pPr>
        <w:keepLines/>
        <w:numPr>
          <w:ilvl w:val="0"/>
          <w:numId w:val="10"/>
        </w:numPr>
        <w:spacing w:after="160" w:line="280" w:lineRule="auto"/>
      </w:pPr>
      <w:r>
        <w:rPr>
          <w:rFonts w:ascii="Calibri" w:hAnsi="Calibri"/>
          <w:color w:val="1F2937"/>
        </w:rPr>
        <w:t>submit_flock_closeout :2849-2900 and grants :10812-10813; unassign_scheduled_placement from :3342 and grants :10864-10865.</w:t>
      </w:r>
    </w:p>
    <w:p>
      <w:pPr>
        <w:keepLines/>
        <w:numPr>
          <w:ilvl w:val="0"/>
          <w:numId w:val="10"/>
        </w:numPr>
        <w:spacing w:after="160" w:line="280" w:lineRule="auto"/>
      </w:pPr>
      <w:r>
        <w:rPr>
          <w:rFonts w:ascii="Calibri" w:hAnsi="Calibri"/>
          <w:color w:val="1F2937"/>
        </w:rPr>
        <w:t>Latest reassign implementation: supabase/migrations/20260828013000_auto_attach_barn_held_feed_on_assignment.sql:4-217.</w:t>
      </w:r>
    </w:p>
    <w:p>
      <w:pPr>
        <w:keepLines/>
        <w:spacing w:before="40"/>
      </w:pPr>
      <w:r>
        <w:rPr>
          <w:rFonts w:ascii="Calibri" w:hAnsi="Calibri"/>
          <w:b/>
          <w:color w:val="1F2937"/>
        </w:rPr>
        <w:t xml:space="preserve">Exploit/reasoning: </w:t>
      </w:r>
      <w:r>
        <w:rPr>
          <w:rFonts w:ascii="Calibri" w:hAnsi="Calibri"/>
          <w:i w:val="0"/>
          <w:color w:val="1F2937"/>
        </w:rPr>
        <w:t>Call an exposed RPC with a foreign placement/barn ID. For cancel/unassign, an anonymous caller can supply any non-null p_actor_id and satisfy the only actor check, causing both state mutation and forged audit attribution.</w:t>
      </w:r>
    </w:p>
    <w:p>
      <w:pPr>
        <w:keepLines/>
        <w:spacing w:before="40"/>
      </w:pPr>
      <w:r>
        <w:rPr>
          <w:rFonts w:ascii="Calibri" w:hAnsi="Calibri"/>
          <w:b/>
          <w:color w:val="1F2937"/>
        </w:rPr>
        <w:t xml:space="preserve">Affected actors: </w:t>
      </w:r>
      <w:r>
        <w:rPr>
          <w:rFonts w:ascii="Calibri" w:hAnsi="Calibri"/>
          <w:i w:val="0"/>
          <w:color w:val="1F2937"/>
        </w:rPr>
        <w:t>Anonymous and all authenticated users; cross-farm targets are exposed.</w:t>
      </w:r>
    </w:p>
    <w:p>
      <w:pPr>
        <w:keepLines/>
        <w:spacing w:before="40"/>
      </w:pPr>
      <w:r>
        <w:rPr>
          <w:rFonts w:ascii="Calibri" w:hAnsi="Calibri"/>
          <w:b/>
          <w:color w:val="1F2937"/>
        </w:rPr>
        <w:t xml:space="preserve">Recommended remediation: </w:t>
      </w:r>
      <w:r>
        <w:rPr>
          <w:rFonts w:ascii="Calibri" w:hAnsi="Calibri"/>
          <w:i w:val="0"/>
          <w:color w:val="1F2937"/>
        </w:rPr>
        <w:t>Revoke PUBLIC, anon, and direct authenticated execution. Put internal mutators in a private schema and expose wrappers that use only auth.uid(), require active manager-or-above authority, and check every source/destination farm.</w:t>
      </w:r>
    </w:p>
    <w:p>
      <w:pPr>
        <w:pStyle w:val="Heading2"/>
        <w:keepNext/>
      </w:pPr>
      <w:r>
        <w:rPr>
          <w:rFonts w:ascii="Calibri" w:hAnsi="Calibri"/>
          <w:b/>
          <w:color w:val="9B1C1C"/>
          <w:sz w:val="26"/>
        </w:rPr>
        <w:t>5. CRITICAL - Owner-rights views expose identity and authentication audit data</w:t>
      </w:r>
    </w:p>
    <w:p>
      <w:pPr>
        <w:keepLines/>
      </w:pPr>
      <w:r>
        <w:rPr>
          <w:rFonts w:ascii="Calibri" w:hAnsi="Calibri"/>
          <w:i w:val="0"/>
          <w:color w:val="1F2937"/>
        </w:rPr>
        <w:t>Postgres-owned views expose sensitive auth, email, membership, role, and audit information to anon/authenticated. Without security_invoker, underlying RLS is bypassed under owner rights.</w:t>
      </w:r>
    </w:p>
    <w:p>
      <w:pPr>
        <w:pStyle w:val="Heading3"/>
        <w:keepNext/>
      </w:pPr>
      <w:r>
        <w:rPr>
          <w:rFonts w:ascii="Calibri" w:hAnsi="Calibri"/>
          <w:b/>
          <w:color w:val="1F4D78"/>
          <w:sz w:val="24"/>
        </w:rPr>
        <w:t>Evidence</w:t>
      </w:r>
    </w:p>
    <w:p>
      <w:pPr>
        <w:keepLines/>
        <w:numPr>
          <w:ilvl w:val="0"/>
          <w:numId w:val="10"/>
        </w:numPr>
        <w:spacing w:after="160" w:line="280" w:lineRule="auto"/>
      </w:pPr>
      <w:r>
        <w:rPr>
          <w:rFonts w:ascii="Calibri" w:hAnsi="Calibri"/>
          <w:color w:val="1F2937"/>
        </w:rPr>
        <w:t>auth_audit_log_readable at baseline :5215-5248; grants :11071-11072.</w:t>
      </w:r>
    </w:p>
    <w:p>
      <w:pPr>
        <w:keepLines/>
        <w:numPr>
          <w:ilvl w:val="0"/>
          <w:numId w:val="10"/>
        </w:numPr>
        <w:spacing w:after="160" w:line="280" w:lineRule="auto"/>
      </w:pPr>
      <w:r>
        <w:rPr>
          <w:rFonts w:ascii="Calibri" w:hAnsi="Calibri"/>
          <w:color w:val="1F2937"/>
        </w:rPr>
        <w:t>core_users_ui at :5313-5318; grants :11099-11100.</w:t>
      </w:r>
    </w:p>
    <w:p>
      <w:pPr>
        <w:keepLines/>
        <w:numPr>
          <w:ilvl w:val="0"/>
          <w:numId w:val="10"/>
        </w:numPr>
        <w:spacing w:after="160" w:line="280" w:lineRule="auto"/>
      </w:pPr>
      <w:r>
        <w:rPr>
          <w:rFonts w:ascii="Calibri" w:hAnsi="Calibri"/>
          <w:color w:val="1F2937"/>
        </w:rPr>
        <w:t>farm_group_memberships_ui at :5459-5475; grants :11141-11142.</w:t>
      </w:r>
    </w:p>
    <w:p>
      <w:pPr>
        <w:keepLines/>
        <w:numPr>
          <w:ilvl w:val="0"/>
          <w:numId w:val="10"/>
        </w:numPr>
        <w:spacing w:after="160" w:line="280" w:lineRule="auto"/>
      </w:pPr>
      <w:r>
        <w:rPr>
          <w:rFonts w:ascii="Calibri" w:hAnsi="Calibri"/>
          <w:color w:val="1F2937"/>
        </w:rPr>
        <w:t>farm_memberships_ui at :5498-5518; grants :11155-11156.</w:t>
      </w:r>
    </w:p>
    <w:p>
      <w:pPr>
        <w:keepLines/>
        <w:numPr>
          <w:ilvl w:val="0"/>
          <w:numId w:val="10"/>
        </w:numPr>
        <w:spacing w:after="160" w:line="280" w:lineRule="auto"/>
      </w:pPr>
      <w:r>
        <w:rPr>
          <w:rFonts w:ascii="Calibri" w:hAnsi="Calibri"/>
          <w:color w:val="1F2937"/>
        </w:rPr>
        <w:t>v_user_role_permissions at :6652-6664; grants :11433-11434.</w:t>
      </w:r>
    </w:p>
    <w:p>
      <w:pPr>
        <w:keepLines/>
        <w:spacing w:before="40"/>
      </w:pPr>
      <w:r>
        <w:rPr>
          <w:rFonts w:ascii="Calibri" w:hAnsi="Calibri"/>
          <w:b/>
          <w:color w:val="1F2937"/>
        </w:rPr>
        <w:t xml:space="preserve">Exploit/reasoning: </w:t>
      </w:r>
      <w:r>
        <w:rPr>
          <w:rFonts w:ascii="Calibri" w:hAnsi="Calibri"/>
          <w:i w:val="0"/>
          <w:color w:val="1F2937"/>
        </w:rPr>
        <w:t>Select the view through the REST API using the anonymous key. Results can contain IP addresses, audit payloads, emails, phone details, farm memberships, and role assignments.</w:t>
      </w:r>
    </w:p>
    <w:p>
      <w:pPr>
        <w:keepLines/>
        <w:spacing w:before="40"/>
      </w:pPr>
      <w:r>
        <w:rPr>
          <w:rFonts w:ascii="Calibri" w:hAnsi="Calibri"/>
          <w:b/>
          <w:color w:val="1F2937"/>
        </w:rPr>
        <w:t xml:space="preserve">Affected actors: </w:t>
      </w:r>
      <w:r>
        <w:rPr>
          <w:rFonts w:ascii="Calibri" w:hAnsi="Calibri"/>
          <w:i w:val="0"/>
          <w:color w:val="1F2937"/>
        </w:rPr>
        <w:t>Anonymous and authenticated clients.</w:t>
      </w:r>
    </w:p>
    <w:p>
      <w:pPr>
        <w:keepLines/>
        <w:spacing w:before="40"/>
      </w:pPr>
      <w:r>
        <w:rPr>
          <w:rFonts w:ascii="Calibri" w:hAnsi="Calibri"/>
          <w:b/>
          <w:color w:val="1F2937"/>
        </w:rPr>
        <w:t xml:space="preserve">Recommended remediation: </w:t>
      </w:r>
      <w:r>
        <w:rPr>
          <w:rFonts w:ascii="Calibri" w:hAnsi="Calibri"/>
          <w:i w:val="0"/>
          <w:color w:val="1F2937"/>
        </w:rPr>
        <w:t>Revoke public access, use security_invoker=on with secure underlying RLS, or replace views with narrow authenticated RPC projections. Never expose raw authentication audit payloads to clients.</w:t>
      </w:r>
    </w:p>
    <w:p>
      <w:pPr>
        <w:pStyle w:val="Heading2"/>
        <w:keepNext/>
      </w:pPr>
      <w:r>
        <w:rPr>
          <w:rFonts w:ascii="Calibri" w:hAnsi="Calibri"/>
          <w:b/>
          <w:color w:val="7A5A00"/>
          <w:sz w:val="26"/>
        </w:rPr>
        <w:t>6. HIGH - Service-role web actions permit cross-farm privileged mutations</w:t>
      </w:r>
    </w:p>
    <w:p>
      <w:pPr>
        <w:keepLines/>
      </w:pPr>
      <w:r>
        <w:rPr>
          <w:rFonts w:ascii="Calibri" w:hAnsi="Calibri"/>
          <w:i w:val="0"/>
          <w:color w:val="1F2937"/>
        </w:rPr>
        <w:t>The /admin layout requires only a session, while multiple downstream actions use the service-role client and add no authoritative farm/role enforcement.</w:t>
      </w:r>
    </w:p>
    <w:p>
      <w:pPr>
        <w:pStyle w:val="Heading3"/>
        <w:keepNext/>
      </w:pPr>
      <w:r>
        <w:rPr>
          <w:rFonts w:ascii="Calibri" w:hAnsi="Calibri"/>
          <w:b/>
          <w:color w:val="1F4D78"/>
          <w:sz w:val="24"/>
        </w:rPr>
        <w:t>Evidence</w:t>
      </w:r>
    </w:p>
    <w:p>
      <w:pPr>
        <w:keepLines/>
        <w:numPr>
          <w:ilvl w:val="0"/>
          <w:numId w:val="10"/>
        </w:numPr>
        <w:spacing w:after="160" w:line="280" w:lineRule="auto"/>
      </w:pPr>
      <w:r>
        <w:rPr>
          <w:rFonts w:ascii="Calibri" w:hAnsi="Calibri"/>
          <w:color w:val="1F2937"/>
        </w:rPr>
        <w:t>web-admin/app/admin/layout.tsx:13-25 - authentication-only admin boundary.</w:t>
      </w:r>
    </w:p>
    <w:p>
      <w:pPr>
        <w:keepLines/>
        <w:numPr>
          <w:ilvl w:val="0"/>
          <w:numId w:val="10"/>
        </w:numPr>
        <w:spacing w:after="160" w:line="280" w:lineRule="auto"/>
      </w:pPr>
      <w:r>
        <w:rPr>
          <w:rFonts w:ascii="Calibri" w:hAnsi="Calibri"/>
          <w:color w:val="1F2937"/>
        </w:rPr>
        <w:t>web-admin/app/admin/placements/livehaul/actions.ts:69-79 and mutators from :217 onward.</w:t>
      </w:r>
    </w:p>
    <w:p>
      <w:pPr>
        <w:keepLines/>
        <w:numPr>
          <w:ilvl w:val="0"/>
          <w:numId w:val="10"/>
        </w:numPr>
        <w:spacing w:after="160" w:line="280" w:lineRule="auto"/>
      </w:pPr>
      <w:r>
        <w:rPr>
          <w:rFonts w:ascii="Calibri" w:hAnsi="Calibri"/>
          <w:color w:val="1F2937"/>
        </w:rPr>
        <w:t>web-admin/app/admin/flock-closeout/actions.ts:88-94, :665-700, :899-958.</w:t>
      </w:r>
    </w:p>
    <w:p>
      <w:pPr>
        <w:keepLines/>
        <w:numPr>
          <w:ilvl w:val="0"/>
          <w:numId w:val="10"/>
        </w:numPr>
        <w:spacing w:after="160" w:line="280" w:lineRule="auto"/>
      </w:pPr>
      <w:r>
        <w:rPr>
          <w:rFonts w:ascii="Calibri" w:hAnsi="Calibri"/>
          <w:color w:val="1F2937"/>
        </w:rPr>
        <w:t>web-admin/app/admin/placements/new/actions.ts:207-300 and subsequent update/unassign/reassign/delete/cancel/juggle actions.</w:t>
      </w:r>
    </w:p>
    <w:p>
      <w:pPr>
        <w:keepLines/>
        <w:numPr>
          <w:ilvl w:val="0"/>
          <w:numId w:val="10"/>
        </w:numPr>
        <w:spacing w:after="160" w:line="280" w:lineRule="auto"/>
      </w:pPr>
      <w:r>
        <w:rPr>
          <w:rFonts w:ascii="Calibri" w:hAnsi="Calibri"/>
          <w:color w:val="1F2937"/>
        </w:rPr>
        <w:t>web-admin/app/admin/issues/actions.ts:36-339 - web-admin issue actions authenticate but do not enforce target-farm scope.</w:t>
      </w:r>
    </w:p>
    <w:p>
      <w:pPr>
        <w:keepLines/>
        <w:spacing w:before="40"/>
      </w:pPr>
      <w:r>
        <w:rPr>
          <w:rFonts w:ascii="Calibri" w:hAnsi="Calibri"/>
          <w:b/>
          <w:color w:val="1F2937"/>
        </w:rPr>
        <w:t xml:space="preserve">Exploit/reasoning: </w:t>
      </w:r>
      <w:r>
        <w:rPr>
          <w:rFonts w:ascii="Calibri" w:hAnsi="Calibri"/>
          <w:i w:val="0"/>
          <w:color w:val="1F2937"/>
        </w:rPr>
        <w:t>Invoke the Server Action directly with a known foreign entity ID. Because the write uses the service role, RLS cannot compensate. Several actions also accept farm/barn/flock context separately, enabling mismatched or falsified audit context.</w:t>
      </w:r>
    </w:p>
    <w:p>
      <w:pPr>
        <w:keepLines/>
        <w:spacing w:before="40"/>
      </w:pPr>
      <w:r>
        <w:rPr>
          <w:rFonts w:ascii="Calibri" w:hAnsi="Calibri"/>
          <w:b/>
          <w:color w:val="1F2937"/>
        </w:rPr>
        <w:t xml:space="preserve">Affected actors: </w:t>
      </w:r>
      <w:r>
        <w:rPr>
          <w:rFonts w:ascii="Calibri" w:hAnsi="Calibri"/>
          <w:i w:val="0"/>
          <w:color w:val="1F2937"/>
        </w:rPr>
        <w:t>Any signed-in user, including flock supervisors, inactive members, and users without active memberships.</w:t>
      </w:r>
    </w:p>
    <w:p>
      <w:pPr>
        <w:keepLines/>
        <w:spacing w:before="40"/>
      </w:pPr>
      <w:r>
        <w:rPr>
          <w:rFonts w:ascii="Calibri" w:hAnsi="Calibri"/>
          <w:b/>
          <w:color w:val="1F2937"/>
        </w:rPr>
        <w:t xml:space="preserve">Recommended remediation: </w:t>
      </w:r>
      <w:r>
        <w:rPr>
          <w:rFonts w:ascii="Calibri" w:hAnsi="Calibri"/>
          <w:i w:val="0"/>
          <w:color w:val="1F2937"/>
        </w:rPr>
        <w:t>Create a centralized authorization guard that resolves the target row and farm before creating a service client. Enforce active scope and action/role requirements, derive related IDs server-side, and validate source plus destination farms for moves.</w:t>
      </w:r>
    </w:p>
    <w:p>
      <w:pPr>
        <w:pStyle w:val="Heading2"/>
        <w:keepNext/>
      </w:pPr>
      <w:r>
        <w:rPr>
          <w:rFonts w:ascii="Calibri" w:hAnsi="Calibri"/>
          <w:b/>
          <w:color w:val="7A5A00"/>
          <w:sz w:val="26"/>
        </w:rPr>
        <w:t>7. HIGH - Feed Edge Functions expose and replace cross-farm tickets</w:t>
      </w:r>
    </w:p>
    <w:p>
      <w:pPr>
        <w:keepLines/>
      </w:pPr>
      <w:r>
        <w:rPr>
          <w:rFonts w:ascii="Calibri" w:hAnsi="Calibri"/>
          <w:i w:val="0"/>
          <w:color w:val="1F2937"/>
        </w:rPr>
        <w:t>Feed ticket list/get authenticate but then query through the service client without farm filtering. Submission authorizes only an incomplete set of newly inferred farms and may replace a foreign existing ticket.</w:t>
      </w:r>
    </w:p>
    <w:p>
      <w:pPr>
        <w:pStyle w:val="Heading3"/>
        <w:keepNext/>
      </w:pPr>
      <w:r>
        <w:rPr>
          <w:rFonts w:ascii="Calibri" w:hAnsi="Calibri"/>
          <w:b/>
          <w:color w:val="1F4D78"/>
          <w:sz w:val="24"/>
        </w:rPr>
        <w:t>Evidence</w:t>
      </w:r>
    </w:p>
    <w:p>
      <w:pPr>
        <w:keepLines/>
        <w:numPr>
          <w:ilvl w:val="0"/>
          <w:numId w:val="10"/>
        </w:numPr>
        <w:spacing w:after="160" w:line="280" w:lineRule="auto"/>
      </w:pPr>
      <w:r>
        <w:rPr>
          <w:rFonts w:ascii="Calibri" w:hAnsi="Calibri"/>
          <w:color w:val="1F2937"/>
        </w:rPr>
        <w:t>supabase/functions/feed-ticket-list/index.ts:81-146.</w:t>
      </w:r>
    </w:p>
    <w:p>
      <w:pPr>
        <w:keepLines/>
        <w:numPr>
          <w:ilvl w:val="0"/>
          <w:numId w:val="10"/>
        </w:numPr>
        <w:spacing w:after="160" w:line="280" w:lineRule="auto"/>
      </w:pPr>
      <w:r>
        <w:rPr>
          <w:rFonts w:ascii="Calibri" w:hAnsi="Calibri"/>
          <w:color w:val="1F2937"/>
        </w:rPr>
        <w:t>supabase/functions/feed-ticket-get/index.ts:104-205.</w:t>
      </w:r>
    </w:p>
    <w:p>
      <w:pPr>
        <w:keepLines/>
        <w:numPr>
          <w:ilvl w:val="0"/>
          <w:numId w:val="10"/>
        </w:numPr>
        <w:spacing w:after="160" w:line="280" w:lineRule="auto"/>
      </w:pPr>
      <w:r>
        <w:rPr>
          <w:rFonts w:ascii="Calibri" w:hAnsi="Calibri"/>
          <w:color w:val="1F2937"/>
        </w:rPr>
        <w:t>supabase/functions/feed-ticket-submit/index.ts:920-1125, especially farm inference/authorization around :970-997 and existing-ticket replacement around :1024-1059.</w:t>
      </w:r>
    </w:p>
    <w:p>
      <w:pPr>
        <w:keepLines/>
        <w:spacing w:before="40"/>
      </w:pPr>
      <w:r>
        <w:rPr>
          <w:rFonts w:ascii="Calibri" w:hAnsi="Calibri"/>
          <w:b/>
          <w:color w:val="1F2937"/>
        </w:rPr>
        <w:t xml:space="preserve">Exploit/reasoning: </w:t>
      </w:r>
      <w:r>
        <w:rPr>
          <w:rFonts w:ascii="Calibri" w:hAnsi="Calibri"/>
          <w:i w:val="0"/>
          <w:color w:val="1F2937"/>
        </w:rPr>
        <w:t>A Farm A writer submits a known Farm B ticket ID with Farm A drops; the old Farm B drops can be removed without authorizing Farm B. An off-farm/queued-only payload can make the target farm set empty, causing the authorization loop to run zero times before a service-role insert.</w:t>
      </w:r>
    </w:p>
    <w:p>
      <w:pPr>
        <w:keepLines/>
        <w:spacing w:before="40"/>
      </w:pPr>
      <w:r>
        <w:rPr>
          <w:rFonts w:ascii="Calibri" w:hAnsi="Calibri"/>
          <w:b/>
          <w:color w:val="1F2937"/>
        </w:rPr>
        <w:t xml:space="preserve">Affected actors: </w:t>
      </w:r>
      <w:r>
        <w:rPr>
          <w:rFonts w:ascii="Calibri" w:hAnsi="Calibri"/>
          <w:i w:val="0"/>
          <w:color w:val="1F2937"/>
        </w:rPr>
        <w:t>Any authenticated user for list/get; writers with narrow or no scope depending on payload construction for submit.</w:t>
      </w:r>
    </w:p>
    <w:p>
      <w:pPr>
        <w:keepLines/>
        <w:spacing w:before="40"/>
      </w:pPr>
      <w:r>
        <w:rPr>
          <w:rFonts w:ascii="Calibri" w:hAnsi="Calibri"/>
          <w:b/>
          <w:color w:val="1F2937"/>
        </w:rPr>
        <w:t xml:space="preserve">Recommended remediation: </w:t>
      </w:r>
      <w:r>
        <w:rPr>
          <w:rFonts w:ascii="Calibri" w:hAnsi="Calibri"/>
          <w:i w:val="0"/>
          <w:color w:val="1F2937"/>
        </w:rPr>
        <w:t>Derive authoritative old and new farm sets from all tickets/drops/source IDs, reject empty authorization sets, authorize every affected farm before mutation, and perform replacement atomically inside an authorization-enforcing RPC.</w:t>
      </w:r>
    </w:p>
    <w:p>
      <w:pPr>
        <w:pStyle w:val="Heading2"/>
        <w:keepNext/>
      </w:pPr>
      <w:r>
        <w:rPr>
          <w:rFonts w:ascii="Calibri" w:hAnsi="Calibri"/>
          <w:b/>
          <w:color w:val="7A5A00"/>
          <w:sz w:val="26"/>
        </w:rPr>
        <w:t>8. HIGH - Document archive download and replacement are IDOR-prone</w:t>
      </w:r>
    </w:p>
    <w:p>
      <w:pPr>
        <w:keepLines/>
      </w:pPr>
      <w:r>
        <w:rPr>
          <w:rFonts w:ascii="Calibri" w:hAnsi="Calibri"/>
          <w:i w:val="0"/>
          <w:color w:val="1F2937"/>
        </w:rPr>
        <w:t>Document routes and upload actions check authentication but not the document's farm scope before using the service role or issuing a signed storage URL.</w:t>
      </w:r>
    </w:p>
    <w:p>
      <w:pPr>
        <w:pStyle w:val="Heading3"/>
        <w:keepNext/>
      </w:pPr>
      <w:r>
        <w:rPr>
          <w:rFonts w:ascii="Calibri" w:hAnsi="Calibri"/>
          <w:b/>
          <w:color w:val="1F4D78"/>
          <w:sz w:val="24"/>
        </w:rPr>
        <w:t>Evidence</w:t>
      </w:r>
    </w:p>
    <w:p>
      <w:pPr>
        <w:keepLines/>
        <w:numPr>
          <w:ilvl w:val="0"/>
          <w:numId w:val="10"/>
        </w:numPr>
        <w:spacing w:after="160" w:line="280" w:lineRule="auto"/>
      </w:pPr>
      <w:r>
        <w:rPr>
          <w:rFonts w:ascii="Calibri" w:hAnsi="Calibri"/>
          <w:color w:val="1F2937"/>
        </w:rPr>
        <w:t>web-admin/app/api/document-archive/[documentId]/route.ts:19-66.</w:t>
      </w:r>
    </w:p>
    <w:p>
      <w:pPr>
        <w:keepLines/>
        <w:numPr>
          <w:ilvl w:val="0"/>
          <w:numId w:val="10"/>
        </w:numPr>
        <w:spacing w:after="160" w:line="280" w:lineRule="auto"/>
      </w:pPr>
      <w:r>
        <w:rPr>
          <w:rFonts w:ascii="Calibri" w:hAnsi="Calibri"/>
          <w:color w:val="1F2937"/>
        </w:rPr>
        <w:t>web-admin/app/admin/feed-tickets/actions.ts:44-212.</w:t>
      </w:r>
    </w:p>
    <w:p>
      <w:pPr>
        <w:keepLines/>
        <w:numPr>
          <w:ilvl w:val="0"/>
          <w:numId w:val="10"/>
        </w:numPr>
        <w:spacing w:after="160" w:line="280" w:lineRule="auto"/>
      </w:pPr>
      <w:r>
        <w:rPr>
          <w:rFonts w:ascii="Calibri" w:hAnsi="Calibri"/>
          <w:color w:val="1F2937"/>
        </w:rPr>
        <w:t>web-admin/app/admin/placements/[placementId]/logs/actions.ts:431-550.</w:t>
      </w:r>
    </w:p>
    <w:p>
      <w:pPr>
        <w:keepLines/>
        <w:numPr>
          <w:ilvl w:val="0"/>
          <w:numId w:val="10"/>
        </w:numPr>
        <w:spacing w:after="160" w:line="280" w:lineRule="auto"/>
      </w:pPr>
      <w:r>
        <w:rPr>
          <w:rFonts w:ascii="Calibri" w:hAnsi="Calibri"/>
          <w:color w:val="1F2937"/>
        </w:rPr>
        <w:t>Equivalent livehaul and closeout document upload actions follow the same pattern.</w:t>
      </w:r>
    </w:p>
    <w:p>
      <w:pPr>
        <w:keepLines/>
        <w:spacing w:before="40"/>
      </w:pPr>
      <w:r>
        <w:rPr>
          <w:rFonts w:ascii="Calibri" w:hAnsi="Calibri"/>
          <w:b/>
          <w:color w:val="1F2937"/>
        </w:rPr>
        <w:t xml:space="preserve">Exploit/reasoning: </w:t>
      </w:r>
      <w:r>
        <w:rPr>
          <w:rFonts w:ascii="Calibri" w:hAnsi="Calibri"/>
          <w:i w:val="0"/>
          <w:color w:val="1F2937"/>
        </w:rPr>
        <w:t>Request a guessed or leaked document UUID from another farm. The route looks it up with service authority and redirects to a valid signed URL. Similar direct action calls can replace another record's current archive document.</w:t>
      </w:r>
    </w:p>
    <w:p>
      <w:pPr>
        <w:keepLines/>
        <w:spacing w:before="40"/>
      </w:pPr>
      <w:r>
        <w:rPr>
          <w:rFonts w:ascii="Calibri" w:hAnsi="Calibri"/>
          <w:b/>
          <w:color w:val="1F2937"/>
        </w:rPr>
        <w:t xml:space="preserve">Affected actors: </w:t>
      </w:r>
      <w:r>
        <w:rPr>
          <w:rFonts w:ascii="Calibri" w:hAnsi="Calibri"/>
          <w:i w:val="0"/>
          <w:color w:val="1F2937"/>
        </w:rPr>
        <w:t>Every signed-in account, including inactive and unscoped users.</w:t>
      </w:r>
    </w:p>
    <w:p>
      <w:pPr>
        <w:keepLines/>
        <w:spacing w:before="40"/>
      </w:pPr>
      <w:r>
        <w:rPr>
          <w:rFonts w:ascii="Calibri" w:hAnsi="Calibri"/>
          <w:b/>
          <w:color w:val="1F2937"/>
        </w:rPr>
        <w:t xml:space="preserve">Recommended remediation: </w:t>
      </w:r>
      <w:r>
        <w:rPr>
          <w:rFonts w:ascii="Calibri" w:hAnsi="Calibri"/>
          <w:i w:val="0"/>
          <w:color w:val="1F2937"/>
        </w:rPr>
        <w:t>Resolve the document's ticket/placement and farm, enforce active scoped read/write rights, and return non-enumerable error behavior without revealing storage paths or object existence.</w:t>
      </w:r>
    </w:p>
    <w:p>
      <w:pPr>
        <w:pStyle w:val="Heading2"/>
        <w:keepNext/>
      </w:pPr>
      <w:r>
        <w:rPr>
          <w:rFonts w:ascii="Calibri" w:hAnsi="Calibri"/>
          <w:b/>
          <w:color w:val="7A5A00"/>
          <w:sz w:val="26"/>
        </w:rPr>
        <w:t>9. HIGH - User-access and scheduler scope checks are mainly UI-level</w:t>
      </w:r>
    </w:p>
    <w:p>
      <w:pPr>
        <w:keepLines/>
      </w:pPr>
      <w:r>
        <w:rPr>
          <w:rFonts w:ascii="Calibri" w:hAnsi="Calibri"/>
          <w:i w:val="0"/>
          <w:color w:val="1F2937"/>
        </w:rPr>
        <w:t>User-access review establishes only existing overlap and rank. Membership actions then trust submitted scope and membership-role IDs. Scheduler pages filter visible farms, but actions accept arbitrary farm/barn IDs.</w:t>
      </w:r>
    </w:p>
    <w:p>
      <w:pPr>
        <w:pStyle w:val="Heading3"/>
        <w:keepNext/>
      </w:pPr>
      <w:r>
        <w:rPr>
          <w:rFonts w:ascii="Calibri" w:hAnsi="Calibri"/>
          <w:b/>
          <w:color w:val="1F4D78"/>
          <w:sz w:val="24"/>
        </w:rPr>
        <w:t>Evidence</w:t>
      </w:r>
    </w:p>
    <w:p>
      <w:pPr>
        <w:keepLines/>
        <w:numPr>
          <w:ilvl w:val="0"/>
          <w:numId w:val="10"/>
        </w:numPr>
        <w:spacing w:after="160" w:line="280" w:lineRule="auto"/>
      </w:pPr>
      <w:r>
        <w:rPr>
          <w:rFonts w:ascii="Calibri" w:hAnsi="Calibri"/>
          <w:color w:val="1F2937"/>
        </w:rPr>
        <w:t>web-admin/lib/access-control.ts:191-235 - existing overlap/rank review.</w:t>
      </w:r>
    </w:p>
    <w:p>
      <w:pPr>
        <w:keepLines/>
        <w:numPr>
          <w:ilvl w:val="0"/>
          <w:numId w:val="10"/>
        </w:numPr>
        <w:spacing w:after="160" w:line="280" w:lineRule="auto"/>
      </w:pPr>
      <w:r>
        <w:rPr>
          <w:rFonts w:ascii="Calibri" w:hAnsi="Calibri"/>
          <w:color w:val="1F2937"/>
        </w:rPr>
        <w:t>web-admin/app/admin/user-access/actions.ts:420-545 - arbitrary farm/group membership writes.</w:t>
      </w:r>
    </w:p>
    <w:p>
      <w:pPr>
        <w:keepLines/>
        <w:numPr>
          <w:ilvl w:val="0"/>
          <w:numId w:val="10"/>
        </w:numPr>
        <w:spacing w:after="160" w:line="280" w:lineRule="auto"/>
      </w:pPr>
      <w:r>
        <w:rPr>
          <w:rFonts w:ascii="Calibri" w:hAnsi="Calibri"/>
          <w:color w:val="1F2937"/>
        </w:rPr>
        <w:t>Same file :546-740 - invite flow accepts submitted farm/group IDs.</w:t>
      </w:r>
    </w:p>
    <w:p>
      <w:pPr>
        <w:keepLines/>
        <w:numPr>
          <w:ilvl w:val="0"/>
          <w:numId w:val="10"/>
        </w:numPr>
        <w:spacing w:after="160" w:line="280" w:lineRule="auto"/>
      </w:pPr>
      <w:r>
        <w:rPr>
          <w:rFonts w:ascii="Calibri" w:hAnsi="Calibri"/>
          <w:color w:val="1F2937"/>
        </w:rPr>
        <w:t>web-admin/app/admin/placements/new/actions.ts:207-300 - global role check without submitted-farm scope enforcement.</w:t>
      </w:r>
    </w:p>
    <w:p>
      <w:pPr>
        <w:keepLines/>
        <w:spacing w:before="40"/>
      </w:pPr>
      <w:r>
        <w:rPr>
          <w:rFonts w:ascii="Calibri" w:hAnsi="Calibri"/>
          <w:b/>
          <w:color w:val="1F2937"/>
        </w:rPr>
        <w:t xml:space="preserve">Exploit/reasoning: </w:t>
      </w:r>
      <w:r>
        <w:rPr>
          <w:rFonts w:ascii="Calibri" w:hAnsi="Calibri"/>
          <w:i w:val="0"/>
          <w:color w:val="1F2937"/>
        </w:rPr>
        <w:t>A manager who overlaps a subordinate in one farm can forge an action adding that user to an unrelated farm or supply a membership role outside the intended grant ceiling. A scoped placement manager can similarly submit another farm's IDs directly.</w:t>
      </w:r>
    </w:p>
    <w:p>
      <w:pPr>
        <w:keepLines/>
        <w:spacing w:before="40"/>
      </w:pPr>
      <w:r>
        <w:rPr>
          <w:rFonts w:ascii="Calibri" w:hAnsi="Calibri"/>
          <w:b/>
          <w:color w:val="1F2937"/>
        </w:rPr>
        <w:t xml:space="preserve">Affected actors: </w:t>
      </w:r>
      <w:r>
        <w:rPr>
          <w:rFonts w:ascii="Calibri" w:hAnsi="Calibri"/>
          <w:i w:val="0"/>
          <w:color w:val="1F2937"/>
        </w:rPr>
        <w:t>Non-super user managers/grower administrators and their lower-ranked targets; any placement-capable scoped role for scheduler paths.</w:t>
      </w:r>
    </w:p>
    <w:p>
      <w:pPr>
        <w:keepLines/>
        <w:spacing w:before="40"/>
      </w:pPr>
      <w:r>
        <w:rPr>
          <w:rFonts w:ascii="Calibri" w:hAnsi="Calibri"/>
          <w:b/>
          <w:color w:val="1F2937"/>
        </w:rPr>
        <w:t xml:space="preserve">Recommended remediation: </w:t>
      </w:r>
      <w:r>
        <w:rPr>
          <w:rFonts w:ascii="Calibri" w:hAnsi="Calibri"/>
          <w:i w:val="0"/>
          <w:color w:val="1F2937"/>
        </w:rPr>
        <w:t>Validate requested farm/group against active authoritative actor scope inside every action, enforce membership-role assignability, and require super-admin authority for expansion outside the actor's boundary.</w:t>
      </w:r>
    </w:p>
    <w:p>
      <w:pPr>
        <w:pStyle w:val="Heading2"/>
        <w:keepNext/>
      </w:pPr>
      <w:r>
        <w:rPr>
          <w:rFonts w:ascii="Calibri" w:hAnsi="Calibri"/>
          <w:b/>
          <w:color w:val="1F4D78"/>
          <w:sz w:val="26"/>
        </w:rPr>
        <w:t>10. MEDIUM - A high role on one farm can unlock behavior on another</w:t>
      </w:r>
    </w:p>
    <w:p>
      <w:pPr>
        <w:keepLines/>
      </w:pPr>
      <w:r>
        <w:rPr>
          <w:rFonts w:ascii="Calibri" w:hAnsi="Calibri"/>
          <w:i w:val="0"/>
          <w:color w:val="1F2937"/>
        </w:rPr>
        <w:t>The mobile access helper scopes permission rows to the target farm but returns highestRole calculated across all memberships. Feed submission uses an unscoped role to unlock historical-entry behavior.</w:t>
      </w:r>
    </w:p>
    <w:p>
      <w:pPr>
        <w:pStyle w:val="Heading3"/>
        <w:keepNext/>
      </w:pPr>
      <w:r>
        <w:rPr>
          <w:rFonts w:ascii="Calibri" w:hAnsi="Calibri"/>
          <w:b/>
          <w:color w:val="1F4D78"/>
          <w:sz w:val="24"/>
        </w:rPr>
        <w:t>Evidence</w:t>
      </w:r>
    </w:p>
    <w:p>
      <w:pPr>
        <w:keepLines/>
        <w:numPr>
          <w:ilvl w:val="0"/>
          <w:numId w:val="10"/>
        </w:numPr>
        <w:spacing w:after="160" w:line="280" w:lineRule="auto"/>
      </w:pPr>
      <w:r>
        <w:rPr>
          <w:rFonts w:ascii="Calibri" w:hAnsi="Calibri"/>
          <w:color w:val="1F2937"/>
        </w:rPr>
        <w:t>supabase/functions/_shared/mobile-access.ts:171-205 and :232-235.</w:t>
      </w:r>
    </w:p>
    <w:p>
      <w:pPr>
        <w:keepLines/>
        <w:numPr>
          <w:ilvl w:val="0"/>
          <w:numId w:val="10"/>
        </w:numPr>
        <w:spacing w:after="160" w:line="280" w:lineRule="auto"/>
      </w:pPr>
      <w:r>
        <w:rPr>
          <w:rFonts w:ascii="Calibri" w:hAnsi="Calibri"/>
          <w:color w:val="1F2937"/>
        </w:rPr>
        <w:t>supabase/functions/feed-ticket-submit/index.ts:920-921.</w:t>
      </w:r>
    </w:p>
    <w:p>
      <w:pPr>
        <w:keepLines/>
        <w:spacing w:before="40"/>
      </w:pPr>
      <w:r>
        <w:rPr>
          <w:rFonts w:ascii="Calibri" w:hAnsi="Calibri"/>
          <w:b/>
          <w:color w:val="1F2937"/>
        </w:rPr>
        <w:t xml:space="preserve">Exploit/reasoning: </w:t>
      </w:r>
      <w:r>
        <w:rPr>
          <w:rFonts w:ascii="Calibri" w:hAnsi="Calibri"/>
          <w:i w:val="0"/>
          <w:color w:val="1F2937"/>
        </w:rPr>
        <w:t>A manager/admin-like role on Farm A plus a lower write-capable role on Farm B can receive manager-like historical-entry behavior while writing Farm B.</w:t>
      </w:r>
    </w:p>
    <w:p>
      <w:pPr>
        <w:keepLines/>
        <w:spacing w:before="40"/>
      </w:pPr>
      <w:r>
        <w:rPr>
          <w:rFonts w:ascii="Calibri" w:hAnsi="Calibri"/>
          <w:b/>
          <w:color w:val="1F2937"/>
        </w:rPr>
        <w:t xml:space="preserve">Affected actors: </w:t>
      </w:r>
      <w:r>
        <w:rPr>
          <w:rFonts w:ascii="Calibri" w:hAnsi="Calibri"/>
          <w:i w:val="0"/>
          <w:color w:val="1F2937"/>
        </w:rPr>
        <w:t>Multi-role users whose role strength differs by farm or farm group.</w:t>
      </w:r>
    </w:p>
    <w:p>
      <w:pPr>
        <w:keepLines/>
        <w:spacing w:before="40"/>
      </w:pPr>
      <w:r>
        <w:rPr>
          <w:rFonts w:ascii="Calibri" w:hAnsi="Calibri"/>
          <w:b/>
          <w:color w:val="1F2937"/>
        </w:rPr>
        <w:t xml:space="preserve">Recommended remediation: </w:t>
      </w:r>
      <w:r>
        <w:rPr>
          <w:rFonts w:ascii="Calibri" w:hAnsi="Calibri"/>
          <w:i w:val="0"/>
          <w:color w:val="1F2937"/>
        </w:rPr>
        <w:t>Compute the effective role only from active memberships relevant to the target farm/group, and authorize a scoped capability boolean rather than using a display-oriented highest-role value.</w:t>
      </w:r>
    </w:p>
    <w:p>
      <w:pPr>
        <w:pStyle w:val="Heading1"/>
      </w:pPr>
      <w:r>
        <w:t>Correctly Implemented Controls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6EF"/>
          </w:tcPr>
          <w:p>
            <w:pPr>
              <w:spacing w:after="40"/>
            </w:pPr>
            <w:r>
              <w:rPr>
                <w:rFonts w:ascii="Calibri" w:hAnsi="Calibri"/>
                <w:b/>
                <w:color w:val="276749"/>
                <w:sz w:val="20"/>
              </w:rPr>
              <w:t xml:space="preserve">IMPORTANT  </w:t>
            </w:r>
            <w:r>
              <w:rPr>
                <w:rFonts w:ascii="Calibri" w:hAnsi="Calibri"/>
                <w:color w:val="1F2937"/>
                <w:sz w:val="21"/>
              </w:rPr>
              <w:t>These controls were implemented correctly in isolation, but some are undermined by the critical role-escalation and database-policy findings above.</w:t>
            </w:r>
          </w:p>
        </w:tc>
      </w:tr>
    </w:tbl>
    <w:p>
      <w:pPr>
        <w:spacing w:after="0" w:before="40"/>
      </w:pPr>
    </w:p>
    <w:p>
      <w:pPr>
        <w:keepLines/>
        <w:numPr>
          <w:ilvl w:val="0"/>
          <w:numId w:val="10"/>
        </w:numPr>
        <w:spacing w:after="160" w:line="280" w:lineRule="auto"/>
      </w:pPr>
      <w:r>
        <w:rPr>
          <w:rFonts w:ascii="Calibri" w:hAnsi="Calibri"/>
          <w:color w:val="1F2937"/>
        </w:rPr>
        <w:t>Placement log matrix saves enforce manager-or-above, active farm/group scope, and lifecycle restrictions (web-admin/app/admin/placements/[placementId]/logs/actions.ts:271-277, :570-592).</w:t>
      </w:r>
    </w:p>
    <w:p>
      <w:pPr>
        <w:keepLines/>
        <w:numPr>
          <w:ilvl w:val="0"/>
          <w:numId w:val="10"/>
        </w:numPr>
        <w:spacing w:after="160" w:line="280" w:lineRule="auto"/>
      </w:pPr>
      <w:r>
        <w:rPr>
          <w:rFonts w:ascii="Calibri" w:hAnsi="Calibri"/>
          <w:color w:val="1F2937"/>
        </w:rPr>
        <w:t>Feed-ticket deletion checks every affected farm and filters inactive memberships (web-admin/app/api/feed-ticket-editor/route.ts:933-978).</w:t>
      </w:r>
    </w:p>
    <w:p>
      <w:pPr>
        <w:keepLines/>
        <w:numPr>
          <w:ilvl w:val="0"/>
          <w:numId w:val="10"/>
        </w:numPr>
        <w:spacing w:after="160" w:line="280" w:lineRule="auto"/>
      </w:pPr>
      <w:r>
        <w:rPr>
          <w:rFonts w:ascii="Calibri" w:hAnsi="Calibri"/>
          <w:color w:val="1F2937"/>
        </w:rPr>
        <w:t>Access-bundle construction excludes inactive farm and farm-group membership rows (web-admin/lib/access-control.ts:497-503).</w:t>
      </w:r>
    </w:p>
    <w:p>
      <w:pPr>
        <w:keepLines/>
        <w:numPr>
          <w:ilvl w:val="0"/>
          <w:numId w:val="10"/>
        </w:numPr>
        <w:spacing w:after="160" w:line="280" w:lineRule="auto"/>
      </w:pPr>
      <w:r>
        <w:rPr>
          <w:rFonts w:ascii="Calibri" w:hAnsi="Calibri"/>
          <w:color w:val="1F2937"/>
        </w:rPr>
        <w:t>Shared mobile access filters is_active=true / active=true and scopes action permission rows to relevant target role IDs.</w:t>
      </w:r>
    </w:p>
    <w:p>
      <w:pPr>
        <w:keepLines/>
        <w:numPr>
          <w:ilvl w:val="0"/>
          <w:numId w:val="10"/>
        </w:numPr>
        <w:spacing w:after="160" w:line="280" w:lineRule="auto"/>
      </w:pPr>
      <w:r>
        <w:rPr>
          <w:rFonts w:ascii="Calibri" w:hAnsi="Calibri"/>
          <w:color w:val="1F2937"/>
        </w:rPr>
        <w:t>Edge issue create/update/resolve functions resolve the placement farm and call scoped mobile access before service mutation; no separate Edge issue IDOR was found.</w:t>
      </w:r>
    </w:p>
    <w:p>
      <w:pPr>
        <w:keepLines/>
        <w:numPr>
          <w:ilvl w:val="0"/>
          <w:numId w:val="10"/>
        </w:numPr>
        <w:spacing w:after="160" w:line="280" w:lineRule="auto"/>
      </w:pPr>
      <w:r>
        <w:rPr>
          <w:rFonts w:ascii="Calibri" w:hAnsi="Calibri"/>
          <w:color w:val="1F2937"/>
        </w:rPr>
        <w:t>can_access_farm and can_write_farm check an exact active membership; their protection is presently bypassed by broader permissive policies and self-escalation paths.</w:t>
      </w:r>
    </w:p>
    <w:p>
      <w:pPr>
        <w:pStyle w:val="Heading1"/>
      </w:pPr>
      <w:r>
        <w:t>Validation and Test Coverage</w:t>
      </w:r>
    </w:p>
    <w:tbl>
      <w:tblPr>
        <w:tblStyle w:val="TableGrid"/>
        <w:tblW w:type="dxa" w:w="9360"/>
        <w:jc w:val="left"/>
        <w:tblLayout w:type="fixed"/>
        <w:tblLook w:firstColumn="1" w:firstRow="1" w:lastColumn="0" w:lastRow="0" w:noHBand="0" w:noVBand="1" w:val="04A0"/>
        <w:tblInd w:w="120" w:type="dxa"/>
      </w:tblPr>
      <w:tblGrid>
        <w:gridCol w:w="2700"/>
        <w:gridCol w:w="1500"/>
        <w:gridCol w:w="5160"/>
      </w:tblGrid>
      <w:tr>
        <w:trPr>
          <w:tblHeader w:val="true"/>
        </w:trPr>
        <w:tc>
          <w:tcPr>
            <w:tcW w:type="dxa" w:w="2700"/>
            <w:shd w:fill="0B2545"/>
            <w:tcMar>
              <w:top w:w="80" w:type="dxa"/>
              <w:start w:w="120" w:type="dxa"/>
              <w:bottom w:w="80" w:type="dxa"/>
              <w:end w:w="120" w:type="dxa"/>
            </w:tcMar>
            <w:vAlign w:val="center"/>
          </w:tcPr>
          <w:p>
            <w:r>
              <w:rPr>
                <w:rFonts w:ascii="Calibri" w:hAnsi="Calibri"/>
                <w:b/>
                <w:color w:val="FFFFFF"/>
                <w:sz w:val="20"/>
              </w:rPr>
              <w:t>Check</w:t>
            </w:r>
          </w:p>
        </w:tc>
        <w:tc>
          <w:tcPr>
            <w:tcW w:type="dxa" w:w="1500"/>
            <w:shd w:fill="0B2545"/>
            <w:tcMar>
              <w:top w:w="80" w:type="dxa"/>
              <w:start w:w="120" w:type="dxa"/>
              <w:bottom w:w="80" w:type="dxa"/>
              <w:end w:w="120" w:type="dxa"/>
            </w:tcMar>
            <w:vAlign w:val="center"/>
          </w:tcPr>
          <w:p>
            <w:r>
              <w:rPr>
                <w:rFonts w:ascii="Calibri" w:hAnsi="Calibri"/>
                <w:b/>
                <w:color w:val="FFFFFF"/>
                <w:sz w:val="20"/>
              </w:rPr>
              <w:t>Result</w:t>
            </w:r>
          </w:p>
        </w:tc>
        <w:tc>
          <w:tcPr>
            <w:tcW w:type="dxa" w:w="5160"/>
            <w:shd w:fill="0B2545"/>
            <w:tcMar>
              <w:top w:w="80" w:type="dxa"/>
              <w:start w:w="120" w:type="dxa"/>
              <w:bottom w:w="80" w:type="dxa"/>
              <w:end w:w="120" w:type="dxa"/>
            </w:tcMar>
            <w:vAlign w:val="center"/>
          </w:tcPr>
          <w:p>
            <w:r>
              <w:rPr>
                <w:rFonts w:ascii="Calibri" w:hAnsi="Calibri"/>
                <w:b/>
                <w:color w:val="FFFFFF"/>
                <w:sz w:val="20"/>
              </w:rPr>
              <w:t>Security meaning</w:t>
            </w:r>
          </w:p>
        </w:tc>
      </w:tr>
      <w:tr>
        <w:tc>
          <w:tcPr>
            <w:tcW w:type="dxa" w:w="2700"/>
            <w:tcMar>
              <w:top w:w="80" w:type="dxa"/>
              <w:start w:w="120" w:type="dxa"/>
              <w:bottom w:w="80" w:type="dxa"/>
              <w:end w:w="120" w:type="dxa"/>
            </w:tcMar>
            <w:vAlign w:val="center"/>
          </w:tcPr>
          <w:p>
            <w:r>
              <w:rPr>
                <w:rFonts w:ascii="Calibri" w:hAnsi="Calibri"/>
                <w:b w:val="0"/>
                <w:color w:val="276749"/>
                <w:sz w:val="18"/>
              </w:rPr>
              <w:t>web-admin npm run typecheck</w:t>
            </w:r>
          </w:p>
        </w:tc>
        <w:tc>
          <w:tcPr>
            <w:tcW w:type="dxa" w:w="1500"/>
            <w:tcMar>
              <w:top w:w="80" w:type="dxa"/>
              <w:start w:w="120" w:type="dxa"/>
              <w:bottom w:w="80" w:type="dxa"/>
              <w:end w:w="120" w:type="dxa"/>
            </w:tcMar>
            <w:vAlign w:val="center"/>
          </w:tcPr>
          <w:p>
            <w:r>
              <w:rPr>
                <w:rFonts w:ascii="Calibri" w:hAnsi="Calibri"/>
                <w:b/>
                <w:color w:val="276749"/>
                <w:sz w:val="18"/>
              </w:rPr>
              <w:t>PASS</w:t>
            </w:r>
          </w:p>
        </w:tc>
        <w:tc>
          <w:tcPr>
            <w:tcW w:type="dxa" w:w="5160"/>
            <w:tcMar>
              <w:top w:w="80" w:type="dxa"/>
              <w:start w:w="120" w:type="dxa"/>
              <w:bottom w:w="80" w:type="dxa"/>
              <w:end w:w="120" w:type="dxa"/>
            </w:tcMar>
            <w:vAlign w:val="center"/>
          </w:tcPr>
          <w:p>
            <w:r>
              <w:rPr>
                <w:rFonts w:ascii="Calibri" w:hAnsi="Calibri"/>
                <w:b w:val="0"/>
                <w:color w:val="276749"/>
                <w:sz w:val="18"/>
              </w:rPr>
              <w:t>Type safety only; no authorization behavior covered.</w:t>
            </w:r>
          </w:p>
        </w:tc>
      </w:tr>
      <w:tr>
        <w:tc>
          <w:tcPr>
            <w:tcW w:type="dxa" w:w="2700"/>
            <w:tcMar>
              <w:top w:w="80" w:type="dxa"/>
              <w:start w:w="120" w:type="dxa"/>
              <w:bottom w:w="80" w:type="dxa"/>
              <w:end w:w="120" w:type="dxa"/>
            </w:tcMar>
            <w:vAlign w:val="center"/>
          </w:tcPr>
          <w:p>
            <w:r>
              <w:rPr>
                <w:rFonts w:ascii="Calibri" w:hAnsi="Calibri"/>
                <w:b w:val="0"/>
                <w:color w:val="9B1C1C"/>
                <w:sz w:val="18"/>
              </w:rPr>
              <w:t>Repository test discovery</w:t>
            </w:r>
          </w:p>
        </w:tc>
        <w:tc>
          <w:tcPr>
            <w:tcW w:type="dxa" w:w="1500"/>
            <w:tcMar>
              <w:top w:w="80" w:type="dxa"/>
              <w:start w:w="120" w:type="dxa"/>
              <w:bottom w:w="80" w:type="dxa"/>
              <w:end w:w="120" w:type="dxa"/>
            </w:tcMar>
            <w:vAlign w:val="center"/>
          </w:tcPr>
          <w:p>
            <w:r>
              <w:rPr>
                <w:rFonts w:ascii="Calibri" w:hAnsi="Calibri"/>
                <w:b/>
                <w:color w:val="9B1C1C"/>
                <w:sz w:val="18"/>
              </w:rPr>
              <w:t>NO TESTS</w:t>
            </w:r>
          </w:p>
        </w:tc>
        <w:tc>
          <w:tcPr>
            <w:tcW w:type="dxa" w:w="5160"/>
            <w:tcMar>
              <w:top w:w="80" w:type="dxa"/>
              <w:start w:w="120" w:type="dxa"/>
              <w:bottom w:w="80" w:type="dxa"/>
              <w:end w:w="120" w:type="dxa"/>
            </w:tcMar>
            <w:vAlign w:val="center"/>
          </w:tcPr>
          <w:p>
            <w:r>
              <w:rPr>
                <w:rFonts w:ascii="Calibri" w:hAnsi="Calibri"/>
                <w:b w:val="0"/>
                <w:color w:val="9B1C1C"/>
                <w:sz w:val="18"/>
              </w:rPr>
              <w:t>No application auth, RLS, RPC, Edge Function, or pgTAP tests found.</w:t>
            </w:r>
          </w:p>
        </w:tc>
      </w:tr>
      <w:tr>
        <w:tc>
          <w:tcPr>
            <w:tcW w:type="dxa" w:w="2700"/>
            <w:tcMar>
              <w:top w:w="80" w:type="dxa"/>
              <w:start w:w="120" w:type="dxa"/>
              <w:bottom w:w="80" w:type="dxa"/>
              <w:end w:w="120" w:type="dxa"/>
            </w:tcMar>
            <w:vAlign w:val="center"/>
          </w:tcPr>
          <w:p>
            <w:r>
              <w:rPr>
                <w:rFonts w:ascii="Calibri" w:hAnsi="Calibri"/>
                <w:b w:val="0"/>
                <w:color w:val="7A5A00"/>
                <w:sz w:val="18"/>
              </w:rPr>
              <w:t>npm run lint</w:t>
            </w:r>
          </w:p>
        </w:tc>
        <w:tc>
          <w:tcPr>
            <w:tcW w:type="dxa" w:w="1500"/>
            <w:tcMar>
              <w:top w:w="80" w:type="dxa"/>
              <w:start w:w="120" w:type="dxa"/>
              <w:bottom w:w="80" w:type="dxa"/>
              <w:end w:w="120" w:type="dxa"/>
            </w:tcMar>
            <w:vAlign w:val="center"/>
          </w:tcPr>
          <w:p>
            <w:r>
              <w:rPr>
                <w:rFonts w:ascii="Calibri" w:hAnsi="Calibri"/>
                <w:b/>
                <w:color w:val="7A5A00"/>
                <w:sz w:val="18"/>
              </w:rPr>
              <w:t>NO RESULT</w:t>
            </w:r>
          </w:p>
        </w:tc>
        <w:tc>
          <w:tcPr>
            <w:tcW w:type="dxa" w:w="5160"/>
            <w:tcMar>
              <w:top w:w="80" w:type="dxa"/>
              <w:start w:w="120" w:type="dxa"/>
              <w:bottom w:w="80" w:type="dxa"/>
              <w:end w:w="120" w:type="dxa"/>
            </w:tcMar>
            <w:vAlign w:val="center"/>
          </w:tcPr>
          <w:p>
            <w:r>
              <w:rPr>
                <w:rFonts w:ascii="Calibri" w:hAnsi="Calibri"/>
                <w:b w:val="0"/>
                <w:color w:val="7A5A00"/>
                <w:sz w:val="18"/>
              </w:rPr>
              <w:t>next lint opened first-time interactive configuration; nothing was created.</w:t>
            </w:r>
          </w:p>
        </w:tc>
      </w:tr>
      <w:tr>
        <w:tc>
          <w:tcPr>
            <w:tcW w:type="dxa" w:w="2700"/>
            <w:tcMar>
              <w:top w:w="80" w:type="dxa"/>
              <w:start w:w="120" w:type="dxa"/>
              <w:bottom w:w="80" w:type="dxa"/>
              <w:end w:w="120" w:type="dxa"/>
            </w:tcMar>
            <w:vAlign w:val="center"/>
          </w:tcPr>
          <w:p>
            <w:r>
              <w:rPr>
                <w:rFonts w:ascii="Calibri" w:hAnsi="Calibri"/>
                <w:b w:val="0"/>
                <w:color w:val="7A5A00"/>
                <w:sz w:val="18"/>
              </w:rPr>
              <w:t>supabase db lint --local</w:t>
            </w:r>
          </w:p>
        </w:tc>
        <w:tc>
          <w:tcPr>
            <w:tcW w:type="dxa" w:w="1500"/>
            <w:tcMar>
              <w:top w:w="80" w:type="dxa"/>
              <w:start w:w="120" w:type="dxa"/>
              <w:bottom w:w="80" w:type="dxa"/>
              <w:end w:w="120" w:type="dxa"/>
            </w:tcMar>
            <w:vAlign w:val="center"/>
          </w:tcPr>
          <w:p>
            <w:r>
              <w:rPr>
                <w:rFonts w:ascii="Calibri" w:hAnsi="Calibri"/>
                <w:b/>
                <w:color w:val="7A5A00"/>
                <w:sz w:val="18"/>
              </w:rPr>
              <w:t>NO RESULT</w:t>
            </w:r>
          </w:p>
        </w:tc>
        <w:tc>
          <w:tcPr>
            <w:tcW w:type="dxa" w:w="5160"/>
            <w:tcMar>
              <w:top w:w="80" w:type="dxa"/>
              <w:start w:w="120" w:type="dxa"/>
              <w:bottom w:w="80" w:type="dxa"/>
              <w:end w:w="120" w:type="dxa"/>
            </w:tcMar>
            <w:vAlign w:val="center"/>
          </w:tcPr>
          <w:p>
            <w:r>
              <w:rPr>
                <w:rFonts w:ascii="Calibri" w:hAnsi="Calibri"/>
                <w:b w:val="0"/>
                <w:color w:val="7A5A00"/>
                <w:sz w:val="18"/>
              </w:rPr>
              <w:t>Local connection ended with unexpected EOF.</w:t>
            </w:r>
          </w:p>
        </w:tc>
      </w:tr>
      <w:tr>
        <w:tc>
          <w:tcPr>
            <w:tcW w:type="dxa" w:w="2700"/>
            <w:tcMar>
              <w:top w:w="80" w:type="dxa"/>
              <w:start w:w="120" w:type="dxa"/>
              <w:bottom w:w="80" w:type="dxa"/>
              <w:end w:w="120" w:type="dxa"/>
            </w:tcMar>
            <w:vAlign w:val="center"/>
          </w:tcPr>
          <w:p>
            <w:r>
              <w:rPr>
                <w:rFonts w:ascii="Calibri" w:hAnsi="Calibri"/>
                <w:b w:val="0"/>
                <w:color w:val="276749"/>
                <w:sz w:val="18"/>
              </w:rPr>
              <w:t>Read-only local pg_policies query</w:t>
            </w:r>
          </w:p>
        </w:tc>
        <w:tc>
          <w:tcPr>
            <w:tcW w:type="dxa" w:w="1500"/>
            <w:tcMar>
              <w:top w:w="80" w:type="dxa"/>
              <w:start w:w="120" w:type="dxa"/>
              <w:bottom w:w="80" w:type="dxa"/>
              <w:end w:w="120" w:type="dxa"/>
            </w:tcMar>
            <w:vAlign w:val="center"/>
          </w:tcPr>
          <w:p>
            <w:r>
              <w:rPr>
                <w:rFonts w:ascii="Calibri" w:hAnsi="Calibri"/>
                <w:b/>
                <w:color w:val="276749"/>
                <w:sz w:val="18"/>
              </w:rPr>
              <w:t>CONFIRMED</w:t>
            </w:r>
          </w:p>
        </w:tc>
        <w:tc>
          <w:tcPr>
            <w:tcW w:type="dxa" w:w="5160"/>
            <w:tcMar>
              <w:top w:w="80" w:type="dxa"/>
              <w:start w:w="120" w:type="dxa"/>
              <w:bottom w:w="80" w:type="dxa"/>
              <w:end w:w="120" w:type="dxa"/>
            </w:tcMar>
            <w:vAlign w:val="center"/>
          </w:tcPr>
          <w:p>
            <w:r>
              <w:rPr>
                <w:rFonts w:ascii="Calibri" w:hAnsi="Calibri"/>
                <w:b w:val="0"/>
                <w:color w:val="276749"/>
                <w:sz w:val="18"/>
              </w:rPr>
              <w:t>Critical user_roles and farm_memberships policies are installed locally.</w:t>
            </w:r>
          </w:p>
        </w:tc>
      </w:tr>
      <w:tr>
        <w:tc>
          <w:tcPr>
            <w:tcW w:type="dxa" w:w="2700"/>
            <w:tcMar>
              <w:top w:w="80" w:type="dxa"/>
              <w:start w:w="120" w:type="dxa"/>
              <w:bottom w:w="80" w:type="dxa"/>
              <w:end w:w="120" w:type="dxa"/>
            </w:tcMar>
            <w:vAlign w:val="center"/>
          </w:tcPr>
          <w:p>
            <w:r>
              <w:rPr>
                <w:rFonts w:ascii="Calibri" w:hAnsi="Calibri"/>
                <w:b w:val="0"/>
                <w:color w:val="276749"/>
                <w:sz w:val="18"/>
              </w:rPr>
              <w:t>Hosted services/data</w:t>
            </w:r>
          </w:p>
        </w:tc>
        <w:tc>
          <w:tcPr>
            <w:tcW w:type="dxa" w:w="1500"/>
            <w:tcMar>
              <w:top w:w="80" w:type="dxa"/>
              <w:start w:w="120" w:type="dxa"/>
              <w:bottom w:w="80" w:type="dxa"/>
              <w:end w:w="120" w:type="dxa"/>
            </w:tcMar>
            <w:vAlign w:val="center"/>
          </w:tcPr>
          <w:p>
            <w:r>
              <w:rPr>
                <w:rFonts w:ascii="Calibri" w:hAnsi="Calibri"/>
                <w:b/>
                <w:color w:val="276749"/>
                <w:sz w:val="18"/>
              </w:rPr>
              <w:t>NOT TOUCHED</w:t>
            </w:r>
          </w:p>
        </w:tc>
        <w:tc>
          <w:tcPr>
            <w:tcW w:type="dxa" w:w="5160"/>
            <w:tcMar>
              <w:top w:w="80" w:type="dxa"/>
              <w:start w:w="120" w:type="dxa"/>
              <w:bottom w:w="80" w:type="dxa"/>
              <w:end w:w="120" w:type="dxa"/>
            </w:tcMar>
            <w:vAlign w:val="center"/>
          </w:tcPr>
          <w:p>
            <w:r>
              <w:rPr>
                <w:rFonts w:ascii="Calibri" w:hAnsi="Calibri"/>
                <w:b w:val="0"/>
                <w:color w:val="276749"/>
                <w:sz w:val="18"/>
              </w:rPr>
              <w:t>Review remained read-only and local/static.</w:t>
            </w:r>
          </w:p>
        </w:tc>
      </w:tr>
    </w:tbl>
    <w:p>
      <w:pPr>
        <w:pStyle w:val="Heading2"/>
      </w:pPr>
      <w:r>
        <w:t>Coverage Gaps</w:t>
      </w:r>
    </w:p>
    <w:p>
      <w:pPr>
        <w:keepLines/>
        <w:numPr>
          <w:ilvl w:val="0"/>
          <w:numId w:val="10"/>
        </w:numPr>
        <w:spacing w:after="160" w:line="280" w:lineRule="auto"/>
      </w:pPr>
      <w:r>
        <w:rPr>
          <w:rFonts w:ascii="Calibri" w:hAnsi="Calibri"/>
          <w:color w:val="1F2937"/>
        </w:rPr>
        <w:t>No denial tests for role ranking, aliases, permission matrices, farm/group scope resolution, or inactive membership handling.</w:t>
      </w:r>
    </w:p>
    <w:p>
      <w:pPr>
        <w:keepLines/>
        <w:numPr>
          <w:ilvl w:val="0"/>
          <w:numId w:val="10"/>
        </w:numPr>
        <w:spacing w:after="160" w:line="280" w:lineRule="auto"/>
      </w:pPr>
      <w:r>
        <w:rPr>
          <w:rFonts w:ascii="Calibri" w:hAnsi="Calibri"/>
          <w:color w:val="1F2937"/>
        </w:rPr>
        <w:t>No direct Server Action/API tests for service-role-backed mutations, forged IDs, or UI-versus-server enforcement parity.</w:t>
      </w:r>
    </w:p>
    <w:p>
      <w:pPr>
        <w:keepLines/>
        <w:numPr>
          <w:ilvl w:val="0"/>
          <w:numId w:val="10"/>
        </w:numPr>
        <w:spacing w:after="160" w:line="280" w:lineRule="auto"/>
      </w:pPr>
      <w:r>
        <w:rPr>
          <w:rFonts w:ascii="Calibri" w:hAnsi="Calibri"/>
          <w:color w:val="1F2937"/>
        </w:rPr>
        <w:t>No RLS/RPC test harness with anon and authenticated JWT claims, policy inventory snapshots, or WITH CHECK tests for farm reassignment.</w:t>
      </w:r>
    </w:p>
    <w:p>
      <w:pPr>
        <w:keepLines/>
        <w:numPr>
          <w:ilvl w:val="0"/>
          <w:numId w:val="10"/>
        </w:numPr>
        <w:spacing w:after="160" w:line="280" w:lineRule="auto"/>
      </w:pPr>
      <w:r>
        <w:rPr>
          <w:rFonts w:ascii="Calibri" w:hAnsi="Calibri"/>
          <w:color w:val="1F2937"/>
        </w:rPr>
        <w:t>No Edge Function tests for missing/malformed/expired JWTs, inactive membership, empty farm authorization sets, or foreign IDs.</w:t>
      </w:r>
    </w:p>
    <w:p>
      <w:pPr>
        <w:keepLines/>
        <w:numPr>
          <w:ilvl w:val="0"/>
          <w:numId w:val="10"/>
        </w:numPr>
        <w:spacing w:after="160" w:line="280" w:lineRule="auto"/>
      </w:pPr>
      <w:r>
        <w:rPr>
          <w:rFonts w:ascii="Calibri" w:hAnsi="Calibri"/>
          <w:color w:val="1F2937"/>
        </w:rPr>
        <w:t>No revocation-race tests after page render or session issuance.</w:t>
      </w:r>
    </w:p>
    <w:p>
      <w:pPr>
        <w:keepLines/>
        <w:numPr>
          <w:ilvl w:val="0"/>
          <w:numId w:val="10"/>
        </w:numPr>
        <w:spacing w:after="160" w:line="280" w:lineRule="auto"/>
      </w:pPr>
      <w:r>
        <w:rPr>
          <w:rFonts w:ascii="Calibri" w:hAnsi="Calibri"/>
          <w:color w:val="1F2937"/>
        </w:rPr>
        <w:t>No audit assertions requiring auth.uid() and zero domain/audit/outbox/storage changes after denied operations.</w:t>
      </w:r>
    </w:p>
    <w:p>
      <w:pPr>
        <w:pStyle w:val="Heading1"/>
      </w:pPr>
      <w:r>
        <w:t>Prioritized Permission Test Matrix</w:t>
      </w:r>
    </w:p>
    <w:tbl>
      <w:tblPr>
        <w:tblStyle w:val="TableGrid"/>
        <w:tblW w:type="dxa" w:w="9360"/>
        <w:jc w:val="left"/>
        <w:tblLayout w:type="fixed"/>
        <w:tblLook w:firstColumn="1" w:firstRow="1" w:lastColumn="0" w:lastRow="0" w:noHBand="0" w:noVBand="1" w:val="04A0"/>
        <w:tblInd w:w="120" w:type="dxa"/>
      </w:tblPr>
      <w:tblGrid>
        <w:gridCol w:w="850"/>
        <w:gridCol w:w="2600"/>
        <w:gridCol w:w="5910"/>
      </w:tblGrid>
      <w:tr>
        <w:trPr>
          <w:tblHeader w:val="true"/>
        </w:trPr>
        <w:tc>
          <w:tcPr>
            <w:tcW w:type="dxa" w:w="850"/>
            <w:shd w:fill="0B2545"/>
            <w:tcMar>
              <w:top w:w="80" w:type="dxa"/>
              <w:start w:w="120" w:type="dxa"/>
              <w:bottom w:w="80" w:type="dxa"/>
              <w:end w:w="120" w:type="dxa"/>
            </w:tcMar>
            <w:vAlign w:val="center"/>
          </w:tcPr>
          <w:p>
            <w:r>
              <w:rPr>
                <w:rFonts w:ascii="Calibri" w:hAnsi="Calibri"/>
                <w:b/>
                <w:color w:val="FFFFFF"/>
                <w:sz w:val="19"/>
              </w:rPr>
              <w:t>Priority</w:t>
            </w:r>
          </w:p>
        </w:tc>
        <w:tc>
          <w:tcPr>
            <w:tcW w:type="dxa" w:w="2600"/>
            <w:shd w:fill="0B2545"/>
            <w:tcMar>
              <w:top w:w="80" w:type="dxa"/>
              <w:start w:w="120" w:type="dxa"/>
              <w:bottom w:w="80" w:type="dxa"/>
              <w:end w:w="120" w:type="dxa"/>
            </w:tcMar>
            <w:vAlign w:val="center"/>
          </w:tcPr>
          <w:p>
            <w:r>
              <w:rPr>
                <w:rFonts w:ascii="Calibri" w:hAnsi="Calibri"/>
                <w:b/>
                <w:color w:val="FFFFFF"/>
                <w:sz w:val="19"/>
              </w:rPr>
              <w:t>Actor/context</w:t>
            </w:r>
          </w:p>
        </w:tc>
        <w:tc>
          <w:tcPr>
            <w:tcW w:type="dxa" w:w="5910"/>
            <w:shd w:fill="0B2545"/>
            <w:tcMar>
              <w:top w:w="80" w:type="dxa"/>
              <w:start w:w="120" w:type="dxa"/>
              <w:bottom w:w="80" w:type="dxa"/>
              <w:end w:w="120" w:type="dxa"/>
            </w:tcMar>
            <w:vAlign w:val="center"/>
          </w:tcPr>
          <w:p>
            <w:r>
              <w:rPr>
                <w:rFonts w:ascii="Calibri" w:hAnsi="Calibri"/>
                <w:b/>
                <w:color w:val="FFFFFF"/>
                <w:sz w:val="19"/>
              </w:rPr>
              <w:t>Required assertion</w:t>
            </w:r>
          </w:p>
        </w:tc>
      </w:tr>
      <w:tr>
        <w:tc>
          <w:tcPr>
            <w:tcW w:type="dxa" w:w="850"/>
            <w:shd w:fill="FDECEC"/>
            <w:tcMar>
              <w:top w:w="80" w:type="dxa"/>
              <w:start w:w="120" w:type="dxa"/>
              <w:bottom w:w="80" w:type="dxa"/>
              <w:end w:w="120" w:type="dxa"/>
            </w:tcMar>
            <w:vAlign w:val="center"/>
          </w:tcPr>
          <w:p>
            <w:r>
              <w:rPr>
                <w:rFonts w:ascii="Calibri" w:hAnsi="Calibri"/>
                <w:b/>
                <w:color w:val="9B1C1C"/>
                <w:sz w:val="17"/>
              </w:rPr>
              <w:t>P0</w:t>
            </w:r>
          </w:p>
        </w:tc>
        <w:tc>
          <w:tcPr>
            <w:tcW w:type="dxa" w:w="2600"/>
            <w:tcMar>
              <w:top w:w="80" w:type="dxa"/>
              <w:start w:w="120" w:type="dxa"/>
              <w:bottom w:w="80" w:type="dxa"/>
              <w:end w:w="120" w:type="dxa"/>
            </w:tcMar>
            <w:vAlign w:val="center"/>
          </w:tcPr>
          <w:p>
            <w:r>
              <w:rPr>
                <w:rFonts w:ascii="Calibri" w:hAnsi="Calibri"/>
                <w:b w:val="0"/>
                <w:color w:val="1F2937"/>
                <w:sz w:val="17"/>
              </w:rPr>
              <w:t>Anonymous / no JWT</w:t>
            </w:r>
          </w:p>
        </w:tc>
        <w:tc>
          <w:tcPr>
            <w:tcW w:type="dxa" w:w="5910"/>
            <w:tcMar>
              <w:top w:w="80" w:type="dxa"/>
              <w:start w:w="120" w:type="dxa"/>
              <w:bottom w:w="80" w:type="dxa"/>
              <w:end w:w="120" w:type="dxa"/>
            </w:tcMar>
            <w:vAlign w:val="center"/>
          </w:tcPr>
          <w:p>
            <w:r>
              <w:rPr>
                <w:rFonts w:ascii="Calibri" w:hAnsi="Calibri"/>
                <w:b w:val="0"/>
                <w:color w:val="1F2937"/>
                <w:sz w:val="17"/>
              </w:rPr>
              <w:t>Deny core entity/view reads, all eleven exposed-table CRUD operations, and every lifecycle RPC.</w:t>
            </w:r>
          </w:p>
        </w:tc>
      </w:tr>
      <w:tr>
        <w:tc>
          <w:tcPr>
            <w:tcW w:type="dxa" w:w="850"/>
            <w:shd w:fill="FDECEC"/>
            <w:tcMar>
              <w:top w:w="80" w:type="dxa"/>
              <w:start w:w="120" w:type="dxa"/>
              <w:bottom w:w="80" w:type="dxa"/>
              <w:end w:w="120" w:type="dxa"/>
            </w:tcMar>
            <w:vAlign w:val="center"/>
          </w:tcPr>
          <w:p>
            <w:r>
              <w:rPr>
                <w:rFonts w:ascii="Calibri" w:hAnsi="Calibri"/>
                <w:b/>
                <w:color w:val="9B1C1C"/>
                <w:sz w:val="17"/>
              </w:rPr>
              <w:t>P0</w:t>
            </w:r>
          </w:p>
        </w:tc>
        <w:tc>
          <w:tcPr>
            <w:tcW w:type="dxa" w:w="2600"/>
            <w:tcMar>
              <w:top w:w="80" w:type="dxa"/>
              <w:start w:w="120" w:type="dxa"/>
              <w:bottom w:w="80" w:type="dxa"/>
              <w:end w:w="120" w:type="dxa"/>
            </w:tcMar>
            <w:vAlign w:val="center"/>
          </w:tcPr>
          <w:p>
            <w:r>
              <w:rPr>
                <w:rFonts w:ascii="Calibri" w:hAnsi="Calibri"/>
                <w:b w:val="0"/>
                <w:color w:val="1F2937"/>
                <w:sz w:val="17"/>
              </w:rPr>
              <w:t>Authenticated, no or inactive membership</w:t>
            </w:r>
          </w:p>
        </w:tc>
        <w:tc>
          <w:tcPr>
            <w:tcW w:type="dxa" w:w="5910"/>
            <w:tcMar>
              <w:top w:w="80" w:type="dxa"/>
              <w:start w:w="120" w:type="dxa"/>
              <w:bottom w:w="80" w:type="dxa"/>
              <w:end w:w="120" w:type="dxa"/>
            </w:tcMar>
            <w:vAlign w:val="center"/>
          </w:tcPr>
          <w:p>
            <w:r>
              <w:rPr>
                <w:rFonts w:ascii="Calibri" w:hAnsi="Calibri"/>
                <w:b w:val="0"/>
                <w:color w:val="1F2937"/>
                <w:sz w:val="17"/>
              </w:rPr>
              <w:t>Deny role/membership assignment, cross-farm CRUD, feed list/get/submit, uploads, corrections, archive, cancel, and reassign.</w:t>
            </w:r>
          </w:p>
        </w:tc>
      </w:tr>
      <w:tr>
        <w:tc>
          <w:tcPr>
            <w:tcW w:type="dxa" w:w="850"/>
            <w:shd w:fill="FDECEC"/>
            <w:tcMar>
              <w:top w:w="80" w:type="dxa"/>
              <w:start w:w="120" w:type="dxa"/>
              <w:bottom w:w="80" w:type="dxa"/>
              <w:end w:w="120" w:type="dxa"/>
            </w:tcMar>
            <w:vAlign w:val="center"/>
          </w:tcPr>
          <w:p>
            <w:r>
              <w:rPr>
                <w:rFonts w:ascii="Calibri" w:hAnsi="Calibri"/>
                <w:b/>
                <w:color w:val="9B1C1C"/>
                <w:sz w:val="17"/>
              </w:rPr>
              <w:t>P0</w:t>
            </w:r>
          </w:p>
        </w:tc>
        <w:tc>
          <w:tcPr>
            <w:tcW w:type="dxa" w:w="2600"/>
            <w:tcMar>
              <w:top w:w="80" w:type="dxa"/>
              <w:start w:w="120" w:type="dxa"/>
              <w:bottom w:w="80" w:type="dxa"/>
              <w:end w:w="120" w:type="dxa"/>
            </w:tcMar>
            <w:vAlign w:val="center"/>
          </w:tcPr>
          <w:p>
            <w:r>
              <w:rPr>
                <w:rFonts w:ascii="Calibri" w:hAnsi="Calibri"/>
                <w:b w:val="0"/>
                <w:color w:val="1F2937"/>
                <w:sz w:val="17"/>
              </w:rPr>
              <w:t>Supervisor/read-only on Farm A</w:t>
            </w:r>
          </w:p>
        </w:tc>
        <w:tc>
          <w:tcPr>
            <w:tcW w:type="dxa" w:w="5910"/>
            <w:tcMar>
              <w:top w:w="80" w:type="dxa"/>
              <w:start w:w="120" w:type="dxa"/>
              <w:bottom w:w="80" w:type="dxa"/>
              <w:end w:w="120" w:type="dxa"/>
            </w:tcMar>
            <w:vAlign w:val="center"/>
          </w:tcPr>
          <w:p>
            <w:r>
              <w:rPr>
                <w:rFonts w:ascii="Calibri" w:hAnsi="Calibri"/>
                <w:b w:val="0"/>
                <w:color w:val="1F2937"/>
                <w:sz w:val="17"/>
              </w:rPr>
              <w:t>Deny manager workflows and all Farm B IDs through UI, route, Server Action, Edge Function, and RPC paths.</w:t>
            </w:r>
          </w:p>
        </w:tc>
      </w:tr>
      <w:tr>
        <w:tc>
          <w:tcPr>
            <w:tcW w:type="dxa" w:w="850"/>
            <w:shd w:fill="FDECEC"/>
            <w:tcMar>
              <w:top w:w="80" w:type="dxa"/>
              <w:start w:w="120" w:type="dxa"/>
              <w:bottom w:w="80" w:type="dxa"/>
              <w:end w:w="120" w:type="dxa"/>
            </w:tcMar>
            <w:vAlign w:val="center"/>
          </w:tcPr>
          <w:p>
            <w:r>
              <w:rPr>
                <w:rFonts w:ascii="Calibri" w:hAnsi="Calibri"/>
                <w:b/>
                <w:color w:val="9B1C1C"/>
                <w:sz w:val="17"/>
              </w:rPr>
              <w:t>P0</w:t>
            </w:r>
          </w:p>
        </w:tc>
        <w:tc>
          <w:tcPr>
            <w:tcW w:type="dxa" w:w="2600"/>
            <w:tcMar>
              <w:top w:w="80" w:type="dxa"/>
              <w:start w:w="120" w:type="dxa"/>
              <w:bottom w:w="80" w:type="dxa"/>
              <w:end w:w="120" w:type="dxa"/>
            </w:tcMar>
            <w:vAlign w:val="center"/>
          </w:tcPr>
          <w:p>
            <w:r>
              <w:rPr>
                <w:rFonts w:ascii="Calibri" w:hAnsi="Calibri"/>
                <w:b w:val="0"/>
                <w:color w:val="1F2937"/>
                <w:sz w:val="17"/>
              </w:rPr>
              <w:t>Manager on Farm A</w:t>
            </w:r>
          </w:p>
        </w:tc>
        <w:tc>
          <w:tcPr>
            <w:tcW w:type="dxa" w:w="5910"/>
            <w:tcMar>
              <w:top w:w="80" w:type="dxa"/>
              <w:start w:w="120" w:type="dxa"/>
              <w:bottom w:w="80" w:type="dxa"/>
              <w:end w:w="120" w:type="dxa"/>
            </w:tcMar>
            <w:vAlign w:val="center"/>
          </w:tcPr>
          <w:p>
            <w:r>
              <w:rPr>
                <w:rFonts w:ascii="Calibri" w:hAnsi="Calibri"/>
                <w:b w:val="0"/>
                <w:color w:val="1F2937"/>
                <w:sz w:val="17"/>
              </w:rPr>
              <w:t>Allow documented Farm A operations; deny read/write/delete/archive/correction against Farm B.</w:t>
            </w:r>
          </w:p>
        </w:tc>
      </w:tr>
      <w:tr>
        <w:tc>
          <w:tcPr>
            <w:tcW w:type="dxa" w:w="850"/>
            <w:shd w:fill="FDECEC"/>
            <w:tcMar>
              <w:top w:w="80" w:type="dxa"/>
              <w:start w:w="120" w:type="dxa"/>
              <w:bottom w:w="80" w:type="dxa"/>
              <w:end w:w="120" w:type="dxa"/>
            </w:tcMar>
            <w:vAlign w:val="center"/>
          </w:tcPr>
          <w:p>
            <w:r>
              <w:rPr>
                <w:rFonts w:ascii="Calibri" w:hAnsi="Calibri"/>
                <w:b/>
                <w:color w:val="9B1C1C"/>
                <w:sz w:val="17"/>
              </w:rPr>
              <w:t>P0</w:t>
            </w:r>
          </w:p>
        </w:tc>
        <w:tc>
          <w:tcPr>
            <w:tcW w:type="dxa" w:w="2600"/>
            <w:tcMar>
              <w:top w:w="80" w:type="dxa"/>
              <w:start w:w="120" w:type="dxa"/>
              <w:bottom w:w="80" w:type="dxa"/>
              <w:end w:w="120" w:type="dxa"/>
            </w:tcMar>
            <w:vAlign w:val="center"/>
          </w:tcPr>
          <w:p>
            <w:r>
              <w:rPr>
                <w:rFonts w:ascii="Calibri" w:hAnsi="Calibri"/>
                <w:b w:val="0"/>
                <w:color w:val="1F2937"/>
                <w:sz w:val="17"/>
              </w:rPr>
              <w:t>Every actor</w:t>
            </w:r>
          </w:p>
        </w:tc>
        <w:tc>
          <w:tcPr>
            <w:tcW w:type="dxa" w:w="5910"/>
            <w:tcMar>
              <w:top w:w="80" w:type="dxa"/>
              <w:start w:w="120" w:type="dxa"/>
              <w:bottom w:w="80" w:type="dxa"/>
              <w:end w:w="120" w:type="dxa"/>
            </w:tcMar>
            <w:vAlign w:val="center"/>
          </w:tcPr>
          <w:p>
            <w:r>
              <w:rPr>
                <w:rFonts w:ascii="Calibri" w:hAnsi="Calibri"/>
                <w:b w:val="0"/>
                <w:color w:val="1F2937"/>
                <w:sz w:val="17"/>
              </w:rPr>
              <w:t>Reject mismatched farm/barn/flock/placement/bin/ticket IDs and any caller-supplied actor identity.</w:t>
            </w:r>
          </w:p>
        </w:tc>
      </w:tr>
      <w:tr>
        <w:tc>
          <w:tcPr>
            <w:tcW w:type="dxa" w:w="850"/>
            <w:shd w:fill="FFF8E1"/>
            <w:tcMar>
              <w:top w:w="80" w:type="dxa"/>
              <w:start w:w="120" w:type="dxa"/>
              <w:bottom w:w="80" w:type="dxa"/>
              <w:end w:w="120" w:type="dxa"/>
            </w:tcMar>
            <w:vAlign w:val="center"/>
          </w:tcPr>
          <w:p>
            <w:r>
              <w:rPr>
                <w:rFonts w:ascii="Calibri" w:hAnsi="Calibri"/>
                <w:b/>
                <w:color w:val="1F2937"/>
                <w:sz w:val="17"/>
              </w:rPr>
              <w:t>P1</w:t>
            </w:r>
          </w:p>
        </w:tc>
        <w:tc>
          <w:tcPr>
            <w:tcW w:type="dxa" w:w="2600"/>
            <w:tcMar>
              <w:top w:w="80" w:type="dxa"/>
              <w:start w:w="120" w:type="dxa"/>
              <w:bottom w:w="80" w:type="dxa"/>
              <w:end w:w="120" w:type="dxa"/>
            </w:tcMar>
            <w:vAlign w:val="center"/>
          </w:tcPr>
          <w:p>
            <w:r>
              <w:rPr>
                <w:rFonts w:ascii="Calibri" w:hAnsi="Calibri"/>
                <w:b w:val="0"/>
                <w:color w:val="1F2937"/>
                <w:sz w:val="17"/>
              </w:rPr>
              <w:t>High role Farm A + low role Farm B</w:t>
            </w:r>
          </w:p>
        </w:tc>
        <w:tc>
          <w:tcPr>
            <w:tcW w:type="dxa" w:w="5910"/>
            <w:tcMar>
              <w:top w:w="80" w:type="dxa"/>
              <w:start w:w="120" w:type="dxa"/>
              <w:bottom w:w="80" w:type="dxa"/>
              <w:end w:w="120" w:type="dxa"/>
            </w:tcMar>
            <w:vAlign w:val="center"/>
          </w:tcPr>
          <w:p>
            <w:r>
              <w:rPr>
                <w:rFonts w:ascii="Calibri" w:hAnsi="Calibri"/>
                <w:b w:val="0"/>
                <w:color w:val="1F2937"/>
                <w:sz w:val="17"/>
              </w:rPr>
              <w:t>Ensure role strength and special capabilities never cross farm scope.</w:t>
            </w:r>
          </w:p>
        </w:tc>
      </w:tr>
      <w:tr>
        <w:tc>
          <w:tcPr>
            <w:tcW w:type="dxa" w:w="850"/>
            <w:shd w:fill="FFF8E1"/>
            <w:tcMar>
              <w:top w:w="80" w:type="dxa"/>
              <w:start w:w="120" w:type="dxa"/>
              <w:bottom w:w="80" w:type="dxa"/>
              <w:end w:w="120" w:type="dxa"/>
            </w:tcMar>
            <w:vAlign w:val="center"/>
          </w:tcPr>
          <w:p>
            <w:r>
              <w:rPr>
                <w:rFonts w:ascii="Calibri" w:hAnsi="Calibri"/>
                <w:b/>
                <w:color w:val="1F2937"/>
                <w:sz w:val="17"/>
              </w:rPr>
              <w:t>P1</w:t>
            </w:r>
          </w:p>
        </w:tc>
        <w:tc>
          <w:tcPr>
            <w:tcW w:type="dxa" w:w="2600"/>
            <w:tcMar>
              <w:top w:w="80" w:type="dxa"/>
              <w:start w:w="120" w:type="dxa"/>
              <w:bottom w:w="80" w:type="dxa"/>
              <w:end w:w="120" w:type="dxa"/>
            </w:tcMar>
            <w:vAlign w:val="center"/>
          </w:tcPr>
          <w:p>
            <w:r>
              <w:rPr>
                <w:rFonts w:ascii="Calibri" w:hAnsi="Calibri"/>
                <w:b w:val="0"/>
                <w:color w:val="1F2937"/>
                <w:sz w:val="17"/>
              </w:rPr>
              <w:t>Membership revoked after page render</w:t>
            </w:r>
          </w:p>
        </w:tc>
        <w:tc>
          <w:tcPr>
            <w:tcW w:type="dxa" w:w="5910"/>
            <w:tcMar>
              <w:top w:w="80" w:type="dxa"/>
              <w:start w:w="120" w:type="dxa"/>
              <w:bottom w:w="80" w:type="dxa"/>
              <w:end w:w="120" w:type="dxa"/>
            </w:tcMar>
            <w:vAlign w:val="center"/>
          </w:tcPr>
          <w:p>
            <w:r>
              <w:rPr>
                <w:rFonts w:ascii="Calibri" w:hAnsi="Calibri"/>
                <w:b w:val="0"/>
                <w:color w:val="1F2937"/>
                <w:sz w:val="17"/>
              </w:rPr>
              <w:t>Previously prepared actions and tokens fail immediately with zero writes.</w:t>
            </w:r>
          </w:p>
        </w:tc>
      </w:tr>
      <w:tr>
        <w:tc>
          <w:tcPr>
            <w:tcW w:type="dxa" w:w="850"/>
            <w:shd w:fill="FFF8E1"/>
            <w:tcMar>
              <w:top w:w="80" w:type="dxa"/>
              <w:start w:w="120" w:type="dxa"/>
              <w:bottom w:w="80" w:type="dxa"/>
              <w:end w:w="120" w:type="dxa"/>
            </w:tcMar>
            <w:vAlign w:val="center"/>
          </w:tcPr>
          <w:p>
            <w:r>
              <w:rPr>
                <w:rFonts w:ascii="Calibri" w:hAnsi="Calibri"/>
                <w:b/>
                <w:color w:val="1F2937"/>
                <w:sz w:val="17"/>
              </w:rPr>
              <w:t>P1</w:t>
            </w:r>
          </w:p>
        </w:tc>
        <w:tc>
          <w:tcPr>
            <w:tcW w:type="dxa" w:w="2600"/>
            <w:tcMar>
              <w:top w:w="80" w:type="dxa"/>
              <w:start w:w="120" w:type="dxa"/>
              <w:bottom w:w="80" w:type="dxa"/>
              <w:end w:w="120" w:type="dxa"/>
            </w:tcMar>
            <w:vAlign w:val="center"/>
          </w:tcPr>
          <w:p>
            <w:r>
              <w:rPr>
                <w:rFonts w:ascii="Calibri" w:hAnsi="Calibri"/>
                <w:b w:val="0"/>
                <w:color w:val="1F2937"/>
                <w:sz w:val="17"/>
              </w:rPr>
              <w:t>Archived/canceled entities</w:t>
            </w:r>
          </w:p>
        </w:tc>
        <w:tc>
          <w:tcPr>
            <w:tcW w:type="dxa" w:w="5910"/>
            <w:tcMar>
              <w:top w:w="80" w:type="dxa"/>
              <w:start w:w="120" w:type="dxa"/>
              <w:bottom w:w="80" w:type="dxa"/>
              <w:end w:w="120" w:type="dxa"/>
            </w:tcMar>
            <w:vAlign w:val="center"/>
          </w:tcPr>
          <w:p>
            <w:r>
              <w:rPr>
                <w:rFonts w:ascii="Calibri" w:hAnsi="Calibri"/>
                <w:b w:val="0"/>
                <w:color w:val="1F2937"/>
                <w:sz w:val="17"/>
              </w:rPr>
              <w:t>Deny mutations except explicitly permitted archived-note behavior, with role/scope checks.</w:t>
            </w:r>
          </w:p>
        </w:tc>
      </w:tr>
      <w:tr>
        <w:tc>
          <w:tcPr>
            <w:tcW w:type="dxa" w:w="850"/>
            <w:shd w:fill="FFF8E1"/>
            <w:tcMar>
              <w:top w:w="80" w:type="dxa"/>
              <w:start w:w="120" w:type="dxa"/>
              <w:bottom w:w="80" w:type="dxa"/>
              <w:end w:w="120" w:type="dxa"/>
            </w:tcMar>
            <w:vAlign w:val="center"/>
          </w:tcPr>
          <w:p>
            <w:r>
              <w:rPr>
                <w:rFonts w:ascii="Calibri" w:hAnsi="Calibri"/>
                <w:b/>
                <w:color w:val="1F2937"/>
                <w:sz w:val="17"/>
              </w:rPr>
              <w:t>P1</w:t>
            </w:r>
          </w:p>
        </w:tc>
        <w:tc>
          <w:tcPr>
            <w:tcW w:type="dxa" w:w="2600"/>
            <w:tcMar>
              <w:top w:w="80" w:type="dxa"/>
              <w:start w:w="120" w:type="dxa"/>
              <w:bottom w:w="80" w:type="dxa"/>
              <w:end w:w="120" w:type="dxa"/>
            </w:tcMar>
            <w:vAlign w:val="center"/>
          </w:tcPr>
          <w:p>
            <w:r>
              <w:rPr>
                <w:rFonts w:ascii="Calibri" w:hAnsi="Calibri"/>
                <w:b w:val="0"/>
                <w:color w:val="1F2937"/>
                <w:sz w:val="17"/>
              </w:rPr>
              <w:t>Guessed document UUID</w:t>
            </w:r>
          </w:p>
        </w:tc>
        <w:tc>
          <w:tcPr>
            <w:tcW w:type="dxa" w:w="5910"/>
            <w:tcMar>
              <w:top w:w="80" w:type="dxa"/>
              <w:start w:w="120" w:type="dxa"/>
              <w:bottom w:w="80" w:type="dxa"/>
              <w:end w:w="120" w:type="dxa"/>
            </w:tcMar>
            <w:vAlign w:val="center"/>
          </w:tcPr>
          <w:p>
            <w:r>
              <w:rPr>
                <w:rFonts w:ascii="Calibri" w:hAnsi="Calibri"/>
                <w:b w:val="0"/>
                <w:color w:val="1F2937"/>
                <w:sz w:val="17"/>
              </w:rPr>
              <w:t>Deny cross-farm download/upload/replace without leaking existence or a signed URL.</w:t>
            </w:r>
          </w:p>
        </w:tc>
      </w:tr>
      <w:tr>
        <w:tc>
          <w:tcPr>
            <w:tcW w:type="dxa" w:w="850"/>
            <w:shd w:fill="E8EEF5"/>
            <w:tcMar>
              <w:top w:w="80" w:type="dxa"/>
              <w:start w:w="120" w:type="dxa"/>
              <w:bottom w:w="80" w:type="dxa"/>
              <w:end w:w="120" w:type="dxa"/>
            </w:tcMar>
            <w:vAlign w:val="center"/>
          </w:tcPr>
          <w:p>
            <w:r>
              <w:rPr>
                <w:rFonts w:ascii="Calibri" w:hAnsi="Calibri"/>
                <w:b/>
                <w:color w:val="1F2937"/>
                <w:sz w:val="17"/>
              </w:rPr>
              <w:t>P2</w:t>
            </w:r>
          </w:p>
        </w:tc>
        <w:tc>
          <w:tcPr>
            <w:tcW w:type="dxa" w:w="2600"/>
            <w:tcMar>
              <w:top w:w="80" w:type="dxa"/>
              <w:start w:w="120" w:type="dxa"/>
              <w:bottom w:w="80" w:type="dxa"/>
              <w:end w:w="120" w:type="dxa"/>
            </w:tcMar>
            <w:vAlign w:val="center"/>
          </w:tcPr>
          <w:p>
            <w:r>
              <w:rPr>
                <w:rFonts w:ascii="Calibri" w:hAnsi="Calibri"/>
                <w:b w:val="0"/>
                <w:color w:val="1F2937"/>
                <w:sz w:val="17"/>
              </w:rPr>
              <w:t>Every role/action permission row</w:t>
            </w:r>
          </w:p>
        </w:tc>
        <w:tc>
          <w:tcPr>
            <w:tcW w:type="dxa" w:w="5910"/>
            <w:tcMar>
              <w:top w:w="80" w:type="dxa"/>
              <w:start w:w="120" w:type="dxa"/>
              <w:bottom w:w="80" w:type="dxa"/>
              <w:end w:w="120" w:type="dxa"/>
            </w:tcMar>
            <w:vAlign w:val="center"/>
          </w:tcPr>
          <w:p>
            <w:r>
              <w:rPr>
                <w:rFonts w:ascii="Calibri" w:hAnsi="Calibri"/>
                <w:b w:val="0"/>
                <w:color w:val="1F2937"/>
                <w:sz w:val="17"/>
              </w:rPr>
              <w:t>Compare visible/enabled UI controls with direct server/database results; server/database is authoritative.</w:t>
            </w:r>
          </w:p>
        </w:tc>
      </w:tr>
      <w:tr>
        <w:tc>
          <w:tcPr>
            <w:tcW w:type="dxa" w:w="850"/>
            <w:shd w:fill="E8EEF5"/>
            <w:tcMar>
              <w:top w:w="80" w:type="dxa"/>
              <w:start w:w="120" w:type="dxa"/>
              <w:bottom w:w="80" w:type="dxa"/>
              <w:end w:w="120" w:type="dxa"/>
            </w:tcMar>
            <w:vAlign w:val="center"/>
          </w:tcPr>
          <w:p>
            <w:r>
              <w:rPr>
                <w:rFonts w:ascii="Calibri" w:hAnsi="Calibri"/>
                <w:b/>
                <w:color w:val="1F2937"/>
                <w:sz w:val="17"/>
              </w:rPr>
              <w:t>P2</w:t>
            </w:r>
          </w:p>
        </w:tc>
        <w:tc>
          <w:tcPr>
            <w:tcW w:type="dxa" w:w="2600"/>
            <w:tcMar>
              <w:top w:w="80" w:type="dxa"/>
              <w:start w:w="120" w:type="dxa"/>
              <w:bottom w:w="80" w:type="dxa"/>
              <w:end w:w="120" w:type="dxa"/>
            </w:tcMar>
            <w:vAlign w:val="center"/>
          </w:tcPr>
          <w:p>
            <w:r>
              <w:rPr>
                <w:rFonts w:ascii="Calibri" w:hAnsi="Calibri"/>
                <w:b w:val="0"/>
                <w:color w:val="1F2937"/>
                <w:sz w:val="17"/>
              </w:rPr>
              <w:t>Successful and denied privileged actions</w:t>
            </w:r>
          </w:p>
        </w:tc>
        <w:tc>
          <w:tcPr>
            <w:tcW w:type="dxa" w:w="5910"/>
            <w:tcMar>
              <w:top w:w="80" w:type="dxa"/>
              <w:start w:w="120" w:type="dxa"/>
              <w:bottom w:w="80" w:type="dxa"/>
              <w:end w:w="120" w:type="dxa"/>
            </w:tcMar>
            <w:vAlign w:val="center"/>
          </w:tcPr>
          <w:p>
            <w:r>
              <w:rPr>
                <w:rFonts w:ascii="Calibri" w:hAnsi="Calibri"/>
                <w:b w:val="0"/>
                <w:color w:val="1F2937"/>
                <w:sz w:val="17"/>
              </w:rPr>
              <w:t>Success records auth.uid(), target farm, old/new state; denial changes no domain, audit, outbox, or storage state.</w:t>
            </w:r>
          </w:p>
        </w:tc>
      </w:tr>
    </w:tbl>
    <w:p>
      <w:pPr>
        <w:pStyle w:val="Heading1"/>
      </w:pPr>
      <w:r>
        <w:t>Recommended Remediation Sequence</w:t>
      </w:r>
    </w:p>
    <w:p>
      <w:pPr>
        <w:pStyle w:val="Heading2"/>
      </w:pPr>
      <w:r>
        <w:rPr>
          <w:rFonts w:ascii="Calibri" w:hAnsi="Calibri"/>
          <w:b/>
          <w:color w:val="2E74B5"/>
          <w:sz w:val="26"/>
        </w:rPr>
        <w:t>1. Contain database escalation</w:t>
      </w:r>
    </w:p>
    <w:p>
      <w:pPr>
        <w:keepLines/>
      </w:pPr>
      <w:r>
        <w:rPr>
          <w:rFonts w:ascii="Calibri" w:hAnsi="Calibri"/>
          <w:i w:val="0"/>
          <w:color w:val="1F2937"/>
        </w:rPr>
        <w:t>Immediately revoke anonymous/full-table access, remove broad user_roles/farm_memberships policies, and restrict privileged RPC execution.</w:t>
      </w:r>
    </w:p>
    <w:p>
      <w:pPr>
        <w:pStyle w:val="Heading2"/>
      </w:pPr>
      <w:r>
        <w:rPr>
          <w:rFonts w:ascii="Calibri" w:hAnsi="Calibri"/>
          <w:b/>
          <w:color w:val="2E74B5"/>
          <w:sz w:val="26"/>
        </w:rPr>
        <w:t>2. Rebuild the database authorization boundary</w:t>
      </w:r>
    </w:p>
    <w:p>
      <w:pPr>
        <w:keepLines/>
      </w:pPr>
      <w:r>
        <w:rPr>
          <w:rFonts w:ascii="Calibri" w:hAnsi="Calibri"/>
          <w:i w:val="0"/>
          <w:color w:val="1F2937"/>
        </w:rPr>
        <w:t>Enable/force RLS on missing tables and replace overlapping permissive policies with tested farm-derived policies.</w:t>
      </w:r>
    </w:p>
    <w:p>
      <w:pPr>
        <w:pStyle w:val="Heading2"/>
      </w:pPr>
      <w:r>
        <w:rPr>
          <w:rFonts w:ascii="Calibri" w:hAnsi="Calibri"/>
          <w:b/>
          <w:color w:val="2E74B5"/>
          <w:sz w:val="26"/>
        </w:rPr>
        <w:t>3. Centralize server authorization</w:t>
      </w:r>
    </w:p>
    <w:p>
      <w:pPr>
        <w:keepLines/>
      </w:pPr>
      <w:r>
        <w:rPr>
          <w:rFonts w:ascii="Calibri" w:hAnsi="Calibri"/>
          <w:i w:val="0"/>
          <w:color w:val="1F2937"/>
        </w:rPr>
        <w:t>Require a shared guard for every service-role action; resolve target farm and related IDs from the database, not caller fields.</w:t>
      </w:r>
    </w:p>
    <w:p>
      <w:pPr>
        <w:pStyle w:val="Heading2"/>
      </w:pPr>
      <w:r>
        <w:rPr>
          <w:rFonts w:ascii="Calibri" w:hAnsi="Calibri"/>
          <w:b/>
          <w:color w:val="2E74B5"/>
          <w:sz w:val="26"/>
        </w:rPr>
        <w:t>4. Repair Edge and document IDOR paths</w:t>
      </w:r>
    </w:p>
    <w:p>
      <w:pPr>
        <w:keepLines/>
      </w:pPr>
      <w:r>
        <w:rPr>
          <w:rFonts w:ascii="Calibri" w:hAnsi="Calibri"/>
          <w:i w:val="0"/>
          <w:color w:val="1F2937"/>
        </w:rPr>
        <w:t>Authorize both old and new farm scopes for ticket replacement and enforce document ownership before storage access.</w:t>
      </w:r>
    </w:p>
    <w:p>
      <w:pPr>
        <w:pStyle w:val="Heading2"/>
      </w:pPr>
      <w:r>
        <w:rPr>
          <w:rFonts w:ascii="Calibri" w:hAnsi="Calibri"/>
          <w:b/>
          <w:color w:val="2E74B5"/>
          <w:sz w:val="26"/>
        </w:rPr>
        <w:t>5. Add fail-closed regression tests</w:t>
      </w:r>
    </w:p>
    <w:p>
      <w:pPr>
        <w:keepLines/>
      </w:pPr>
      <w:r>
        <w:rPr>
          <w:rFonts w:ascii="Calibri" w:hAnsi="Calibri"/>
          <w:i w:val="0"/>
          <w:color w:val="1F2937"/>
        </w:rPr>
        <w:t>Start with transactional pgTAP RLS/RPC tests, then direct Server Action/Edge integration tests using seeded Farm A/Farm B identities.</w:t>
      </w:r>
    </w:p>
    <w:p>
      <w:pPr>
        <w:pStyle w:val="Heading1"/>
      </w:pPr>
      <w:r>
        <w:t>Review Constraints</w:t>
      </w:r>
    </w:p>
    <w:p>
      <w:pPr>
        <w:keepLines/>
      </w:pPr>
      <w:r>
        <w:rPr>
          <w:rFonts w:ascii="Calibri" w:hAnsi="Calibri"/>
          <w:i w:val="0"/>
          <w:color w:val="1F2937"/>
        </w:rPr>
        <w:t>This review assessed the repository and local declared/installed authorization state available on August 28, 2026. It did not mutate hosted data, deploy code, apply migrations, or change application source. A full production confirmation should compare deployed grants, policies, function ACLs, storage policies, and Edge Function JWT settings against this report after containment changes are prepared.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FlockTrax User Permissions and Authorization Security Review</dc:title>
  <dc:subject>Read-only security-focused review of authorization enforcement</dc:subject>
  <dc:creator>OpenAI Codex</dc:creator>
  <cp:keywords>FlockTrax, security, permissions, authorization, Supabase, RLS, Next.js</cp:keywords>
  <dc:description>generated by python-docx</dc:description>
  <cp:lastModifiedBy/>
  <cp:revision>1</cp:revision>
  <dcterms:created xsi:type="dcterms:W3CDTF">2013-12-23T23:15:00Z</dcterms:created>
  <dcterms:modified xsi:type="dcterms:W3CDTF">2013-12-23T23:15:00Z</dcterms:modified>
  <cp:category/>
</cp:coreProperties>
</file>