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Use Case: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Maintain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Taxes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Casual Use Case Specification: UC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08 - Maintain Taxes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Brief Description: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This use case allows the Operations Manager to maintain and monitor taxes owed to governing bodies completely through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Section 1: Business Rule(s):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rtl w:val="0"/>
        </w:rPr>
        <w:t xml:space="preserve">45: Taxes due must be paid by the 31st(or the last day) of every month.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 46: All taxable amounts must be in accordance with CRA guidelines.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Section 2: Scenarios (HD):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Scenario 1: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Calculate HST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Preconditions: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calculating taxable income, the Operations Manager uses the system to calculate total HST payable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90.0" w:type="dxa"/>
        <w:jc w:val="left"/>
        <w:tblInd w:w="2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95"/>
        <w:gridCol w:w="2985"/>
        <w:gridCol w:w="4050"/>
        <w:gridCol w:w="2160"/>
        <w:tblGridChange w:id="0">
          <w:tblGrid>
            <w:gridCol w:w="795"/>
            <w:gridCol w:w="2985"/>
            <w:gridCol w:w="4050"/>
            <w:gridCol w:w="21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Step#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Actor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Operations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Manager)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 HST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 the end of the month, the system alerts the Operations Manager that Taxes are due and have been tentatively calculated.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Taxes Due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Confirm payable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HST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Operations Manager verifies taxes are accurate and reasonable. The system also allows comparison to past tax remittance.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Taxes Due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hd w:fill="ffffff" w:val="clear"/>
              <w:spacing w:after="10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 Taxes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Successful Post-Conditions: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Taxes are accurately and reasonably calculated.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Scenario 2:  Remit HST</w:t>
      </w:r>
    </w:p>
    <w:p w:rsidR="00000000" w:rsidDel="00000000" w:rsidP="00000000" w:rsidRDefault="00000000" w:rsidRPr="00000000">
      <w:pPr>
        <w:keepNext w:val="1"/>
        <w:widowControl w:val="0"/>
        <w:pBdr/>
        <w:spacing w:after="60" w:before="12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Preconditions:</w:t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calculating HST due, the Operations Manager submits taxes electronically through the finance system. </w:t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90.0" w:type="dxa"/>
        <w:jc w:val="left"/>
        <w:tblInd w:w="2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95"/>
        <w:gridCol w:w="2985"/>
        <w:gridCol w:w="4050"/>
        <w:gridCol w:w="2160"/>
        <w:tblGridChange w:id="0">
          <w:tblGrid>
            <w:gridCol w:w="795"/>
            <w:gridCol w:w="2985"/>
            <w:gridCol w:w="4050"/>
            <w:gridCol w:w="21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(Operations Manager)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Submit HST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After verifying correct HST amounts, the Operations Manger uses a connection between finance system and the CRA to submit the company HST.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Taxes Due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 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After submitting the HST, the system requests a response from the CRA when they receive the payment. This is forwarded to the Operations Manager.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Successful Post-Conditions: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Taxes are paid and confirmation of payment is received.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spacing w:before="720" w:line="276" w:lineRule="auto"/>
      <w:contextualSpacing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9555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5610"/>
      <w:gridCol w:w="3945"/>
      <w:tblGridChange w:id="0">
        <w:tblGrid>
          <w:gridCol w:w="5610"/>
          <w:gridCol w:w="3945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Group Number: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One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; Rogue One</w:t>
          </w:r>
        </w:p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</w:p>
      </w:tc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Page: 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Use Case Name: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Maintain Taxes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06/April/2017</w:t>
          </w:r>
        </w:p>
      </w:tc>
    </w:tr>
    <w:tr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Prepared by: </w:t>
          </w:r>
        </w:p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Chris Di Matteo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Business Area: Finance</w:t>
          </w:r>
        </w:p>
      </w:tc>
    </w:tr>
  </w:tbl>
  <w:p w:rsidR="00000000" w:rsidDel="00000000" w:rsidP="00000000" w:rsidRDefault="00000000" w:rsidRPr="00000000">
    <w:pPr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tabs>
        <w:tab w:val="center" w:pos="4320"/>
        <w:tab w:val="right" w:pos="8640"/>
      </w:tabs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