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BUC Name: HireContractor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Short description: This use case enables the ProjectManager to hire a contractor for a task that is a part of the project but cannot be directly done by the plumbing company. Those tasks are often digging or hauling. When this happens, contractor is hired, does the task, and sends the bill to the plumbing company.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Actors: ProjectManager, Contractor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Trigger: Plumbing job requires hiring a contractor for some task such as digging or hauling.</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Results: Contractor performs the task and sends the bill to plumbing company.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BUC Name: PerformInitialInvestigation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Short description: This use enables the project manager and customer to investigate the problem and determine the required work to fix the problem. This includes work to be done by the plumber and also any needed contractor work, materials, equipment, municipality checks, etc. Then a plumbing contract is made between PM and customer, and material/equipment is ordered if necessary. Contractors are hired if necessary. Municipality is contacted for a town engineer if necessary.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Actors: ProjectManager, Customer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Trigger: After initial contact by the customer, an initial investigation is planned in the area to determine what is needed (work, materials, equipment, etc)</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Results: Investigation is done, plumbing contract is done, any other required contracts are done, any material or equipment is ordered.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