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jc w:val="center"/>
        <w:rPr>
          <w:rFonts w:ascii="Garamond" w:cs="Garamond" w:eastAsia="Garamond" w:hAnsi="Garamond"/>
          <w:b w:val="1"/>
          <w:bCs w:val="1"/>
        </w:rPr>
      </w:pPr>
      <w:r>
        <w:rPr>
          <w:rtl w:val="0"/>
        </w:rPr>
      </w:r>
    </w:p>
    <w:p w14:paraId="00000002">
      <w:pPr>
        <w:pStyle w:val="Title"/>
        <w:jc w:val="center"/>
        <w:rPr>
          <w:rFonts w:ascii="Garamond" w:cs="Garamond" w:eastAsia="Garamond" w:hAnsi="Garamond"/>
          <w:b w:val="1"/>
          <w:bCs w:val="1"/>
          <w:sz w:val="48"/>
          <w:szCs w:val="48"/>
        </w:rPr>
      </w:pPr>
      <w:r>
        <w:rPr>
          <w:rFonts w:ascii="Garamond" w:cs="Garamond" w:eastAsia="Garamond" w:hAnsi="Garamond"/>
          <w:b w:val="1"/>
          <w:bCs w:val="1"/>
          <w:sz w:val="48"/>
          <w:szCs w:val="48"/>
          <w:rtl w:val="0"/>
          <w:color w:val="000000"/>
        </w:rPr>
        <w:t xml:space="preserve">Articles and Countability</w:t>
      </w:r>
    </w:p>
    <w:p w14:paraId="00000003">
      <w:pPr>
        <w:jc w:val="both"/>
        <w:rPr>
          <w:rFonts w:ascii="Garamond" w:cs="Garamond" w:eastAsia="Garamond" w:hAnsi="Garamond"/>
          <w:b w:val="1"/>
          <w:bCs w:val="1"/>
        </w:rPr>
      </w:pPr>
      <w:r>
        <w:rPr>
          <w:rtl w:val="0"/>
        </w:rPr>
      </w:r>
    </w:p>
    <w:p w14:paraId="00000004">
      <w:pPr>
        <w:jc w:val="both"/>
        <w:rPr>
          <w:rFonts w:ascii="Garamond" w:cs="Garamond" w:eastAsia="Garamond" w:hAnsi="Garamond"/>
        </w:rPr>
      </w:pPr>
      <w:r>
        <w:rPr>
          <w:rFonts w:ascii="Garamond" w:cs="Garamond" w:eastAsia="Garamond" w:hAnsi="Garamond"/>
          <w:rtl w:val="0"/>
          <w:b w:val="1"/>
          <w:color w:val="000000"/>
        </w:rPr>
        <w:t xml:space="preserve">To:</w:t>
      </w:r>
      <w:r>
        <w:rPr>
          <w:rFonts w:ascii="Garamond" w:cs="Garamond" w:eastAsia="Garamond" w:hAnsi="Garamond"/>
          <w:rtl w:val="0"/>
          <w:b w:val="0"/>
          <w:color w:val="000000"/>
        </w:rPr>
        <w:tab/>
        <w:t xml:space="preserve">English learners and tutoring assistants</w:t>
      </w:r>
    </w:p>
    <w:p w14:paraId="00000005">
      <w:pPr>
        <w:ind w:firstLine="720"/>
        <w:jc w:val="both"/>
        <w:rPr>
          <w:rFonts w:ascii="Garamond" w:cs="Garamond" w:eastAsia="Garamond" w:hAnsi="Garamond"/>
        </w:rPr>
      </w:pPr>
      <w:r>
        <w:rPr>
          <w:rFonts w:ascii="Garamond" w:cs="Garamond" w:eastAsia="Garamond" w:hAnsi="Garamond"/>
          <w:rtl w:val="0"/>
          <w:color w:val="000000"/>
        </w:rPr>
        <w:t xml:space="preserve">Level A2 to B2   Reference EL02</w:t>
      </w:r>
    </w:p>
    <w:p w14:paraId="00000006">
      <w:pPr>
        <w:jc w:val="both"/>
        <w:rPr>
          <w:rFonts w:ascii="Garamond" w:cs="Garamond" w:eastAsia="Garamond" w:hAnsi="Garamond"/>
        </w:rPr>
      </w:pPr>
      <w:r>
        <w:rPr>
          <w:rFonts w:ascii="Garamond" w:cs="Garamond" w:eastAsia="Garamond" w:hAnsi="Garamond"/>
          <w:rtl w:val="0"/>
          <w:b w:val="1"/>
          <w:color w:val="000000"/>
        </w:rPr>
        <w:t xml:space="preserve">From:</w:t>
      </w:r>
      <w:r>
        <w:rPr>
          <w:rFonts w:ascii="Garamond" w:cs="Garamond" w:eastAsia="Garamond" w:hAnsi="Garamond"/>
          <w:rtl w:val="0"/>
          <w:b w:val="0"/>
          <w:color w:val="000000"/>
        </w:rPr>
        <w:tab/>
        <w:t xml:space="preserve">Study Trail English Learning Materials</w:t>
      </w:r>
    </w:p>
    <w:p w14:paraId="00000007">
      <w:pPr>
        <w:jc w:val="both"/>
        <w:rPr>
          <w:rFonts w:ascii="Garamond" w:cs="Garamond" w:eastAsia="Garamond" w:hAnsi="Garamond"/>
        </w:rPr>
      </w:pPr>
      <w:r>
        <w:rPr>
          <w:rFonts w:ascii="Garamond" w:cs="Garamond" w:eastAsia="Garamond" w:hAnsi="Garamond"/>
          <w:rtl w:val="0"/>
          <w:b w:val="1"/>
          <w:color w:val="000000"/>
        </w:rPr>
        <w:t xml:space="preserve">Date:</w:t>
      </w:r>
      <w:r>
        <w:rPr>
          <w:rFonts w:ascii="Garamond" w:cs="Garamond" w:eastAsia="Garamond" w:hAnsi="Garamond"/>
          <w:rtl w:val="0"/>
          <w:b w:val="0"/>
          <w:color w:val="000000"/>
        </w:rPr>
        <w:tab/>
        <w:t xml:space="preserve">5 October 2026</w:t>
      </w:r>
    </w:p>
    <w:p w14:paraId="00000008">
      <w:pPr>
        <w:pBdr>
          <w:bottom w:color="000000" w:space="1" w:sz="6" w:val="single"/>
        </w:pBdr>
        <w:jc w:val="both"/>
        <w:rPr>
          <w:rFonts w:ascii="Garamond" w:cs="Garamond" w:eastAsia="Garamond" w:hAnsi="Garamond"/>
        </w:rPr>
      </w:pPr>
      <w:r>
        <w:rPr>
          <w:rFonts w:ascii="Garamond" w:cs="Garamond" w:eastAsia="Garamond" w:hAnsi="Garamond"/>
          <w:rtl w:val="0"/>
          <w:b w:val="1"/>
          <w:color w:val="000000"/>
        </w:rPr>
        <w:t xml:space="preserve">Re:</w:t>
      </w:r>
      <w:r>
        <w:rPr>
          <w:rFonts w:ascii="Garamond" w:cs="Garamond" w:eastAsia="Garamond" w:hAnsi="Garamond"/>
          <w:rtl w:val="0"/>
          <w:b w:val="0"/>
          <w:color w:val="000000"/>
        </w:rPr>
        <w:tab/>
        <w:t xml:space="preserve">EL02 Articles a an the and zero article</w:t>
      </w:r>
    </w:p>
    <w:p w14:paraId="00000009">
      <w:pPr>
        <w:pBdr>
          <w:bottom w:color="000000" w:space="1" w:sz="6" w:val="single"/>
        </w:pBdr>
        <w:jc w:val="both"/>
        <w:rPr>
          <w:rFonts w:ascii="Garamond" w:cs="Garamond" w:eastAsia="Garamond" w:hAnsi="Garamond"/>
        </w:rPr>
      </w:pPr>
      <w:r>
        <w:rPr>
          <w:rtl w:val="0"/>
        </w:rPr>
      </w:r>
    </w:p>
    <w:p w14:paraId="0000000A">
      <w:pPr>
        <w:jc w:val="center"/>
        <w:rPr>
          <w:rFonts w:ascii="Garamond" w:cs="Garamond" w:eastAsia="Garamond" w:hAnsi="Garamond"/>
          <w:b w:val="1"/>
          <w:bCs w:val="1"/>
          <w:u w:val="single"/>
        </w:rPr>
      </w:pPr>
      <w:r>
        <w:rPr>
          <w:rtl w:val="0"/>
        </w:rPr>
      </w:r>
    </w:p>
    <w:p w14:paraId="0000000B">
      <w:pPr>
        <w:jc w:val="center"/>
        <w:rPr>
          <w:rFonts w:ascii="Garamond" w:cs="Garamond" w:eastAsia="Garamond" w:hAnsi="Garamond"/>
          <w:b w:val="1"/>
          <w:bCs w:val="1"/>
          <w:u w:val="single"/>
        </w:rPr>
        <w:keepNext w:val="1"/>
      </w:pPr>
      <w:r>
        <w:rPr>
          <w:rFonts w:ascii="Garamond" w:cs="Garamond" w:eastAsia="Garamond" w:hAnsi="Garamond"/>
          <w:b w:val="1"/>
          <w:bCs w:val="1"/>
          <w:u w:val="single"/>
          <w:rtl w:val="0"/>
          <w:color w:val="000000"/>
        </w:rPr>
        <w:t xml:space="preserve">Learning Context</w:t>
      </w:r>
    </w:p>
    <w:p w14:paraId="0000000C">
      <w:pPr>
        <w:spacing w:line="360" w:lineRule="auto"/>
        <w:jc w:val="both"/>
        <w:rPr>
          <w:rFonts w:ascii="Garamond" w:cs="Garamond" w:eastAsia="Garamond" w:hAnsi="Garamond"/>
        </w:rPr>
      </w:pPr>
      <w:r>
        <w:rPr>
          <w:rFonts w:ascii="Garamond" w:cs="Garamond" w:eastAsia="Garamond" w:hAnsi="Garamond"/>
          <w:rtl w:val="0"/>
          <w:color w:val="000000"/>
        </w:rPr>
        <w:tab/>
        <w:t xml:space="preserve">Article choice depends on countability, number, and reference. Use a or an for a nonspecific singular countable item, the for an identifiable referent, and zero article in general uses with plural or uncountable nouns. Decide what the noun means before choosing its determiner.</w:t>
      </w:r>
    </w:p>
    <w:p w14:paraId="0000000D">
      <w:pPr>
        <w:spacing w:line="360" w:lineRule="auto"/>
        <w:jc w:val="both"/>
        <w:rPr>
          <w:rFonts w:ascii="Garamond" w:cs="Garamond" w:eastAsia="Garamond" w:hAnsi="Garamond"/>
        </w:rPr>
      </w:pPr>
      <w:r>
        <w:rPr>
          <w:rFonts w:ascii="Garamond" w:cs="Garamond" w:eastAsia="Garamond" w:hAnsi="Garamond"/>
          <w:rtl w:val="0"/>
          <w:color w:val="000000"/>
        </w:rPr>
        <w:tab/>
        <w:t xml:space="preserve">A countable noun can name separate items, such as a chair or three chairs. An uncountable noun presents something as a mass or an abstract whole, such as water, advice, or information. A referent is the person or thing to which an expression points. Identifiable does not mean important or physically near: a referent can be identifiable because it was mentioned earlier or because the surrounding situation makes it clear.</w:t>
      </w:r>
    </w:p>
    <w:p w14:paraId="0000000E">
      <w:pPr>
        <w:spacing w:line="360" w:lineRule="auto"/>
        <w:ind w:firstLine="720"/>
        <w:jc w:val="both"/>
        <w:rPr>
          <w:rFonts w:ascii="Garamond" w:cs="Garamond" w:eastAsia="Garamond" w:hAnsi="Garamond"/>
        </w:rPr>
      </w:pPr>
      <w:r>
        <w:rPr>
          <w:rFonts w:ascii="Garamond" w:cs="Garamond" w:eastAsia="Garamond" w:hAnsi="Garamond"/>
          <w:rtl w:val="0"/>
          <w:color w:val="000000"/>
        </w:rPr>
        <w:t xml:space="preserve">Learning objectives in this memorandum</w:t>
      </w:r>
    </w:p>
    <w:p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Garamond" w:cs="Garamond" w:eastAsia="Garamond" w:hAnsi="Garamond"/>
          <w:b w:val="0"/>
          <w:bCs w:val="0"/>
          <w:i w:val="0"/>
          <w:iCs w:val="0"/>
          <w:smallCaps w:val="0"/>
          <w:strike w:val="0"/>
          <w:color w:val="000000"/>
          <w:sz w:val="24"/>
          <w:szCs w:val="24"/>
          <w:u w:val="none"/>
          <w:shd w:fill="auto" w:val="clear"/>
          <w:vertAlign w:val="baseline"/>
        </w:rPr>
      </w:pPr>
      <w:r>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Choose a or an according to the following sound</w:t>
      </w:r>
    </w:p>
    <w:p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Garamond" w:cs="Garamond" w:eastAsia="Garamond" w:hAnsi="Garamond"/>
          <w:b w:val="0"/>
          <w:bCs w:val="0"/>
          <w:i w:val="0"/>
          <w:iCs w:val="0"/>
          <w:smallCaps w:val="0"/>
          <w:strike w:val="0"/>
          <w:color w:val="000000"/>
          <w:sz w:val="24"/>
          <w:szCs w:val="24"/>
          <w:u w:val="none"/>
          <w:shd w:fill="auto" w:val="clear"/>
          <w:vertAlign w:val="baseline"/>
        </w:rPr>
      </w:pPr>
      <w:r>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Distinguish general reference from an identifiable referent</w:t>
      </w:r>
    </w:p>
    <w:p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1440" w:right="0" w:hanging="360"/>
        <w:jc w:val="both"/>
        <w:rPr>
          <w:rFonts w:ascii="Garamond" w:cs="Garamond" w:eastAsia="Garamond" w:hAnsi="Garamond"/>
          <w:b w:val="0"/>
          <w:bCs w:val="0"/>
          <w:i w:val="0"/>
          <w:iCs w:val="0"/>
          <w:smallCaps w:val="0"/>
          <w:strike w:val="0"/>
          <w:color w:val="000000"/>
          <w:sz w:val="24"/>
          <w:szCs w:val="24"/>
          <w:u w:val="none"/>
          <w:shd w:fill="auto" w:val="clear"/>
          <w:vertAlign w:val="baseline"/>
        </w:rPr>
      </w:pPr>
      <w:r>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Use quantities with common uncountable nouns</w:t>
      </w:r>
    </w:p>
    <w:p w14:paraId="00000012">
      <w:pPr>
        <w:spacing w:line="360" w:lineRule="auto"/>
        <w:jc w:val="both"/>
        <w:rPr>
          <w:rFonts w:ascii="Garamond" w:cs="Garamond" w:eastAsia="Garamond" w:hAnsi="Garamond"/>
        </w:rPr>
      </w:pPr>
      <w:r>
        <w:rPr>
          <w:rFonts w:ascii="Garamond" w:cs="Garamond" w:eastAsia="Garamond" w:hAnsi="Garamond"/>
          <w:rtl w:val="0"/>
          <w:color w:val="000000"/>
        </w:rPr>
        <w:tab/>
        <w:t xml:space="preserve">A and an depend on sound, not simply on the first written letter. Write a university because university begins with a consonant sound similar to you. Write an hour because the initial h is silent. The relevant sound may belong to an adjective before the noun: a useful book, an interesting book. Do not place a or an directly before a plural or ordinary uncountable noun.</w:t>
      </w:r>
    </w:p>
    <w:p w14:paraId="00000013">
      <w:pPr>
        <w:spacing w:line="360" w:lineRule="auto"/>
        <w:ind w:firstLine="720"/>
        <w:jc w:val="both"/>
        <w:rPr>
          <w:rFonts w:ascii="Garamond" w:cs="Garamond" w:eastAsia="Garamond" w:hAnsi="Garamond"/>
        </w:rPr>
      </w:pPr>
      <w:r>
        <w:rPr>
          <w:rFonts w:ascii="Garamond" w:cs="Garamond" w:eastAsia="Garamond" w:hAnsi="Garamond"/>
          <w:rtl w:val="0"/>
          <w:color w:val="000000"/>
        </w:rPr>
        <w:t xml:space="preserve">A singular countable common noun usually needs a determiner in an ordinary noun phrase. I bought a notebook introduces one notebook that has not yet been identified for the reader. The notebook has a blue cover refers back to that notebook. My notebook and this notebook use other determiners, so do not add the before my or this. An article is one kind of determiner, not the only kind.</w:t>
      </w:r>
    </w:p>
    <w:p w14:paraId="00000014">
      <w:pPr>
        <w:spacing w:line="360" w:lineRule="auto"/>
        <w:ind w:firstLine="720"/>
        <w:jc w:val="both"/>
        <w:rPr>
          <w:rFonts w:ascii="Garamond" w:cs="Garamond" w:eastAsia="Garamond" w:hAnsi="Garamond"/>
        </w:rPr>
      </w:pPr>
      <w:r>
        <w:rPr>
          <w:rFonts w:ascii="Garamond" w:cs="Garamond" w:eastAsia="Garamond" w:hAnsi="Garamond"/>
          <w:rtl w:val="0"/>
          <w:color w:val="000000"/>
        </w:rPr>
        <w:t xml:space="preserve">Use the when the intended referent is identifiable. A first mention can still use the if the context makes the item clear: Please close the door can refer to the obvious door in the room. Use zero article for general statements such as Books can help learners and Water is essential. Specific groups can take the: The books on that shelf belong to the club.</w:t>
      </w:r>
    </w:p>
    <w:p w14:paraId="00000015">
      <w:pPr>
        <w:spacing w:line="360" w:lineRule="auto"/>
        <w:jc w:val="both"/>
        <w:rPr>
          <w:rFonts w:ascii="Garamond" w:cs="Garamond" w:eastAsia="Garamond" w:hAnsi="Garamond"/>
        </w:rPr>
      </w:pPr>
      <w:r>
        <w:rPr>
          <w:rFonts w:ascii="Garamond" w:cs="Garamond" w:eastAsia="Garamond" w:hAnsi="Garamond"/>
          <w:rtl w:val="0"/>
          <w:color w:val="000000"/>
        </w:rPr>
        <w:tab/>
        <w:t xml:space="preserve">Information, advice, equipment, and homework are normally uncountable in the meanings used here. Say some information, a piece of advice, or two pieces of equipment. Avoid an advice and two informations in standard general usage. Some nouns have both countable and uncountable meanings: Coffee is a drink describes a substance, while two coffees can mean two cups or servings in a cafe.</w:t>
      </w:r>
    </w:p>
    <w:p w14:paraId="00000016">
      <w:pPr>
        <w:spacing w:line="360" w:lineRule="auto"/>
        <w:jc w:val="center"/>
        <w:rPr>
          <w:rFonts w:ascii="Garamond" w:cs="Garamond" w:eastAsia="Garamond" w:hAnsi="Garamond"/>
          <w:b w:val="1"/>
          <w:bCs w:val="1"/>
          <w:u w:val="single"/>
        </w:rPr>
        <w:keepNext w:val="1"/>
      </w:pPr>
      <w:r>
        <w:rPr>
          <w:rFonts w:ascii="Garamond" w:cs="Garamond" w:eastAsia="Garamond" w:hAnsi="Garamond"/>
          <w:b w:val="1"/>
          <w:bCs w:val="1"/>
          <w:u w:val="single"/>
          <w:rtl w:val="0"/>
          <w:color w:val="000000"/>
        </w:rPr>
        <w:t xml:space="preserve">Rules and Worked Examples</w:t>
      </w:r>
    </w:p>
    <w:p w14:paraId="00000017">
      <w:pPr>
        <w:spacing w:line="360" w:lineRule="auto"/>
        <w:ind w:firstLine="720"/>
        <w:jc w:val="both"/>
        <w:rPr>
          <w:rFonts w:ascii="Garamond" w:cs="Garamond" w:eastAsia="Garamond" w:hAnsi="Garamond"/>
        </w:rPr>
      </w:pPr>
      <w:r>
        <w:rPr>
          <w:rFonts w:ascii="Garamond" w:cs="Garamond" w:eastAsia="Garamond" w:hAnsi="Garamond"/>
          <w:rtl w:val="0"/>
          <w:color w:val="000000"/>
        </w:rPr>
        <w:t xml:space="preserve">This classroom example shows how reference changes after an item is introduced. Every article can be explained from the reader's perspective.</w:t>
      </w:r>
    </w:p>
    <w:p w14:paraId="00000018">
      <w:pPr>
        <w:spacing w:line="240" w:lineRule="auto"/>
        <w:jc w:val="both"/>
        <w:rPr>
          <w:rFonts w:ascii="Garamond" w:cs="Garamond" w:eastAsia="Garamond" w:hAnsi="Garamond"/>
        </w:rPr>
      </w:pPr>
      <w:r>
        <w:rPr>
          <w:rFonts w:ascii="Garamond" w:cs="Garamond" w:eastAsia="Garamond" w:hAnsi="Garamond"/>
          <w:rtl w:val="0"/>
          <w:color w:val="000000"/>
        </w:rPr>
        <w:t xml:space="preserve">A student entered the language room carrying a notebook and an umbrella. The notebook was blue, but the umbrella was black. She asked the teacher for some advice about writing a report. The teacher gave her a useful example and a piece of information about the deadline. Later, the student placed her notebook on the desk beside the window. Books and dictionaries were already available in the room.</w:t>
      </w:r>
    </w:p>
    <w:p w14:paraId="00000019">
      <w:pPr>
        <w:spacing w:line="360" w:lineRule="auto"/>
        <w:jc w:val="both"/>
        <w:rPr>
          <w:rFonts w:ascii="Garamond" w:cs="Garamond" w:eastAsia="Garamond" w:hAnsi="Garamond"/>
        </w:rPr>
      </w:pPr>
      <w:r>
        <w:rPr>
          <w:rFonts w:ascii="Garamond" w:cs="Garamond" w:eastAsia="Garamond" w:hAnsi="Garamond"/>
          <w:rtl w:val="0"/>
          <w:color w:val="000000"/>
        </w:rPr>
        <w:tab/>
        <w:t xml:space="preserve">A student, a notebook, and an umbrella introduce nonspecific singular items. The notebook and the umbrella become identifiable because the preceding sentence introduced them. Some advice uses an uncountable noun without a or an. A useful example uses a because useful begins with a consonant sound. A piece of information counts a unit of information rather than making information itself a plural countable noun.</w:t>
      </w:r>
    </w:p>
    <w:p w14:paraId="0000001A">
      <w:pPr>
        <w:spacing w:line="360" w:lineRule="auto"/>
        <w:jc w:val="both"/>
        <w:rPr>
          <w:rFonts w:ascii="Garamond" w:cs="Garamond" w:eastAsia="Garamond" w:hAnsi="Garamond"/>
        </w:rPr>
      </w:pPr>
      <w:r>
        <w:rPr>
          <w:rFonts w:ascii="Garamond" w:cs="Garamond" w:eastAsia="Garamond" w:hAnsi="Garamond"/>
          <w:rtl w:val="0"/>
          <w:color w:val="000000"/>
        </w:rPr>
        <w:tab/>
        <w:t xml:space="preserve">Books are useful makes a general claim. The books on my desk identifies a particular group. I need information is general; I need the information you collected is specific. A relative clause does not itself require the: a book that explains grammar clearly still makes a nonspecific reference.</w:t>
      </w:r>
    </w:p>
    <w:p w14:paraId="DB052CB2">
      <w:pPr>
        <w:spacing w:line="360" w:lineRule="auto"/>
        <w:jc w:val="center"/>
        <w:rPr>
          <w:rFonts w:ascii="Garamond" w:cs="Garamond" w:eastAsia="Garamond" w:hAnsi="Garamond"/>
          <w:b w:val="1"/>
          <w:bCs w:val="1"/>
          <w:u w:val="single"/>
        </w:rPr>
        <w:keepNext w:val="1"/>
      </w:pPr>
      <w:r>
        <w:rPr>
          <w:rFonts w:ascii="Garamond" w:cs="Garamond" w:eastAsia="Garamond" w:hAnsi="Garamond"/>
          <w:b w:val="1"/>
          <w:bCs w:val="1"/>
          <w:u w:val="single"/>
          <w:rtl w:val="0"/>
          <w:color w:val="000000"/>
        </w:rPr>
        <w:t xml:space="preserve">Practice Questions</w:t>
      </w:r>
    </w:p>
    <w:p w14:paraId="C62D9AAA">
      <w:pPr>
        <w:spacing w:line="360" w:lineRule="auto"/>
        <w:ind w:firstLine="720"/>
        <w:jc w:val="both"/>
        <w:rPr>
          <w:rFonts w:ascii="Garamond" w:cs="Garamond" w:eastAsia="Garamond" w:hAnsi="Garamond"/>
        </w:rPr>
      </w:pPr>
      <w:r>
        <w:rPr>
          <w:rFonts w:ascii="Garamond" w:cs="Garamond" w:eastAsia="Garamond" w:hAnsi="Garamond"/>
          <w:rtl w:val="0"/>
          <w:color w:val="000000"/>
        </w:rPr>
        <w:t xml:space="preserve">EL02 Q1 Choose a or an: ___ hour and ___ university.</w:t>
      </w:r>
    </w:p>
    <w:p w14:paraId="6A3D2C34">
      <w:pPr>
        <w:spacing w:line="360" w:lineRule="auto"/>
        <w:ind w:firstLine="720"/>
        <w:jc w:val="both"/>
        <w:rPr>
          <w:rFonts w:ascii="Garamond" w:cs="Garamond" w:eastAsia="Garamond" w:hAnsi="Garamond"/>
        </w:rPr>
      </w:pPr>
      <w:r>
        <w:rPr>
          <w:rFonts w:ascii="Garamond" w:cs="Garamond" w:eastAsia="Garamond" w:hAnsi="Garamond"/>
          <w:rtl w:val="0"/>
          <w:color w:val="000000"/>
        </w:rPr>
        <w:t xml:space="preserve">EL02 Q2 Correct the sentence: She gave me an advice.</w:t>
      </w:r>
    </w:p>
    <w:p w14:paraId="57B6BFB2">
      <w:pPr>
        <w:spacing w:line="360" w:lineRule="auto"/>
        <w:ind w:firstLine="720"/>
        <w:jc w:val="both"/>
        <w:rPr>
          <w:rFonts w:ascii="Garamond" w:cs="Garamond" w:eastAsia="Garamond" w:hAnsi="Garamond"/>
        </w:rPr>
      </w:pPr>
      <w:r>
        <w:rPr>
          <w:rFonts w:ascii="Garamond" w:cs="Garamond" w:eastAsia="Garamond" w:hAnsi="Garamond"/>
          <w:rtl w:val="0"/>
          <w:color w:val="000000"/>
        </w:rPr>
        <w:t xml:space="preserve">EL02 Q3 Fill the gaps: I bought ___ notebook yesterday. ___ notebook is blue.</w:t>
      </w:r>
    </w:p>
    <w:p w14:paraId="AE2607D0">
      <w:pPr>
        <w:spacing w:line="360" w:lineRule="auto"/>
        <w:ind w:firstLine="720"/>
        <w:jc w:val="both"/>
        <w:rPr>
          <w:rFonts w:ascii="Garamond" w:cs="Garamond" w:eastAsia="Garamond" w:hAnsi="Garamond"/>
        </w:rPr>
      </w:pPr>
      <w:r>
        <w:rPr>
          <w:rFonts w:ascii="Garamond" w:cs="Garamond" w:eastAsia="Garamond" w:hAnsi="Garamond"/>
          <w:rtl w:val="0"/>
          <w:color w:val="000000"/>
        </w:rPr>
        <w:t xml:space="preserve">EL02 Q4 Explain the difference between Books are useful and The books on my desk are useful.</w:t>
      </w:r>
    </w:p>
    <w:p w14:paraId="EFDB4B7C">
      <w:pPr>
        <w:spacing w:line="360" w:lineRule="auto"/>
        <w:ind w:firstLine="720"/>
        <w:jc w:val="both"/>
        <w:rPr>
          <w:rFonts w:ascii="Garamond" w:cs="Garamond" w:eastAsia="Garamond" w:hAnsi="Garamond"/>
        </w:rPr>
      </w:pPr>
      <w:r>
        <w:rPr>
          <w:rFonts w:ascii="Garamond" w:cs="Garamond" w:eastAsia="Garamond" w:hAnsi="Garamond"/>
          <w:rtl w:val="0"/>
          <w:color w:val="000000"/>
        </w:rPr>
        <w:t xml:space="preserve">EL02 Q5 Is two coffees always incorrect? Explain the possible meaning.</w:t>
      </w:r>
    </w:p>
    <w:p w14:paraId="0000001C">
      <w:pPr>
        <w:spacing w:line="360" w:lineRule="auto"/>
        <w:ind w:firstLine="720"/>
        <w:jc w:val="both"/>
        <w:rPr>
          <w:rFonts w:ascii="Garamond" w:cs="Garamond" w:eastAsia="Garamond" w:hAnsi="Garamond"/>
        </w:rPr>
      </w:pPr>
      <w:r>
        <w:rPr>
          <w:rFonts w:ascii="Garamond" w:cs="Garamond" w:eastAsia="Garamond" w:hAnsi="Garamond"/>
          <w:rtl w:val="0"/>
          <w:color w:val="000000"/>
        </w:rPr>
        <w:t xml:space="preserve">Edit a paragraph in two passes. Check each singular countable noun for a determiner, then explain how readers identify every referent marked by the. Compare these choices with the draft and the attached draft in EL06 Clear Professional Emails.</w:t>
      </w:r>
    </w:p>
    <w:p w14:paraId="0000001D">
      <w:pPr>
        <w:spacing w:line="360" w:lineRule="auto"/>
        <w:jc w:val="center"/>
        <w:rPr>
          <w:rFonts w:ascii="Garamond" w:cs="Garamond" w:eastAsia="Garamond" w:hAnsi="Garamond"/>
          <w:b w:val="1"/>
          <w:bCs w:val="1"/>
          <w:u w:val="single"/>
        </w:rPr>
        <w:keepNext w:val="1"/>
      </w:pPr>
      <w:r>
        <w:rPr>
          <w:rFonts w:ascii="Garamond" w:cs="Garamond" w:eastAsia="Garamond" w:hAnsi="Garamond"/>
          <w:b w:val="1"/>
          <w:bCs w:val="1"/>
          <w:u w:val="single"/>
          <w:rtl w:val="0"/>
          <w:color w:val="000000"/>
        </w:rPr>
        <w:t xml:space="preserve">Answer Key and Review</w:t>
      </w:r>
    </w:p>
    <w:p w14:paraId="8A7EAEF9">
      <w:pPr>
        <w:spacing w:line="360" w:lineRule="auto"/>
        <w:ind w:firstLine="720"/>
        <w:jc w:val="both"/>
        <w:rPr>
          <w:rFonts w:ascii="Garamond" w:cs="Garamond" w:eastAsia="Garamond" w:hAnsi="Garamond"/>
        </w:rPr>
      </w:pPr>
      <w:r>
        <w:rPr>
          <w:rFonts w:ascii="Garamond" w:cs="Garamond" w:eastAsia="Garamond" w:hAnsi="Garamond"/>
          <w:rtl w:val="0"/>
          <w:color w:val="000000"/>
        </w:rPr>
        <w:t xml:space="preserve">EL02 A1 An hour and a university. The choice follows the initial sound rather than the first written letter.</w:t>
      </w:r>
    </w:p>
    <w:p w14:paraId="A686F73C">
      <w:pPr>
        <w:spacing w:line="360" w:lineRule="auto"/>
        <w:ind w:firstLine="720"/>
        <w:jc w:val="both"/>
        <w:rPr>
          <w:rFonts w:ascii="Garamond" w:cs="Garamond" w:eastAsia="Garamond" w:hAnsi="Garamond"/>
        </w:rPr>
      </w:pPr>
      <w:r>
        <w:rPr>
          <w:rFonts w:ascii="Garamond" w:cs="Garamond" w:eastAsia="Garamond" w:hAnsi="Garamond"/>
          <w:rtl w:val="0"/>
          <w:color w:val="000000"/>
        </w:rPr>
        <w:t xml:space="preserve">EL02 A2 She gave me some advice or She gave me a piece of advice. Advice is uncountable in this meaning.</w:t>
      </w:r>
    </w:p>
    <w:p w14:paraId="CA50D286">
      <w:pPr>
        <w:spacing w:line="360" w:lineRule="auto"/>
        <w:ind w:firstLine="720"/>
        <w:jc w:val="both"/>
        <w:rPr>
          <w:rFonts w:ascii="Garamond" w:cs="Garamond" w:eastAsia="Garamond" w:hAnsi="Garamond"/>
        </w:rPr>
      </w:pPr>
      <w:r>
        <w:rPr>
          <w:rFonts w:ascii="Garamond" w:cs="Garamond" w:eastAsia="Garamond" w:hAnsi="Garamond"/>
          <w:rtl w:val="0"/>
          <w:color w:val="000000"/>
        </w:rPr>
        <w:t xml:space="preserve">EL02 A3 A notebook followed by the notebook. The first phrase introduces the item and the second refers back to it.</w:t>
      </w:r>
    </w:p>
    <w:p w14:paraId="B725C0F4">
      <w:pPr>
        <w:spacing w:line="360" w:lineRule="auto"/>
        <w:ind w:firstLine="720"/>
        <w:jc w:val="both"/>
        <w:rPr>
          <w:rFonts w:ascii="Garamond" w:cs="Garamond" w:eastAsia="Garamond" w:hAnsi="Garamond"/>
        </w:rPr>
      </w:pPr>
      <w:r>
        <w:rPr>
          <w:rFonts w:ascii="Garamond" w:cs="Garamond" w:eastAsia="Garamond" w:hAnsi="Garamond"/>
          <w:rtl w:val="0"/>
          <w:color w:val="000000"/>
        </w:rPr>
        <w:t xml:space="preserve">EL02 A4 Books are useful is a general statement; the second sentence concerns the identifiable books on the speaker's desk.</w:t>
      </w:r>
    </w:p>
    <w:p w14:paraId="B28F27D1">
      <w:pPr>
        <w:spacing w:line="360" w:lineRule="auto"/>
        <w:ind w:firstLine="720"/>
        <w:jc w:val="both"/>
        <w:rPr>
          <w:rFonts w:ascii="Garamond" w:cs="Garamond" w:eastAsia="Garamond" w:hAnsi="Garamond"/>
        </w:rPr>
      </w:pPr>
      <w:r>
        <w:rPr>
          <w:rFonts w:ascii="Garamond" w:cs="Garamond" w:eastAsia="Garamond" w:hAnsi="Garamond"/>
          <w:rtl w:val="0"/>
          <w:color w:val="000000"/>
        </w:rPr>
        <w:t xml:space="preserve">EL02 A5 No. In a cafe, two coffees can mean two cups or servings of coffee. The countable use expresses servings rather than the substance in general.</w:t>
      </w:r>
    </w:p>
    <w:p w14:paraId="79B6B309">
      <w:pPr>
        <w:spacing w:line="360" w:lineRule="auto"/>
        <w:ind w:firstLine="720"/>
        <w:jc w:val="both"/>
        <w:rPr>
          <w:rFonts w:ascii="Garamond" w:cs="Garamond" w:eastAsia="Garamond" w:hAnsi="Garamond"/>
        </w:rPr>
      </w:pPr>
      <w:r>
        <w:rPr>
          <w:rFonts w:ascii="Garamond" w:cs="Garamond" w:eastAsia="Garamond" w:hAnsi="Garamond"/>
          <w:rtl w:val="0"/>
          <w:color w:val="000000"/>
        </w:rPr>
        <w:t xml:space="preserve">Check noun type, number, and identifiable reference. Use sound to choose a or an. Explain each determiner from the sentence meaning.</w:t>
      </w:r>
    </w:p>
    <w:p w14:paraId="0000001F">
      <w:pPr>
        <w:spacing w:line="360" w:lineRule="auto"/>
        <w:rPr/>
      </w:pPr>
      <w:r>
        <w:rPr>
          <w:rtl w:val="0"/>
        </w:rPr>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Play">
    <w:embedRegular w:fontKey="{00000000-0000-0000-0000-000000000000}" r:id="rId1" w:subsetted="0"/>
    <w:embedBold w:fontKey="{00000000-0000-0000-0000-000000000000}" r:id="rId2" w:subsetted="0"/>
  </w:font>
  <w:font w:name="Garamond">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aramond" w:cs="Garamond" w:eastAsia="Garamond" w:hAnsi="Garamond"/>
        <w:i w:val="0"/>
        <w:iCs w:val="0"/>
        <w:smallCaps w:val="0"/>
        <w:strike w:val="0"/>
        <w:color w:val="000000"/>
        <w:u w:val="none"/>
        <w:shd w:fill="auto" w:val="clear"/>
        <w:vertAlign w:val="baseline"/>
      </w:rPr>
    </w:pPr>
    <w:r>
      <w:rPr>
        <w:rFonts w:ascii="Garamond" w:cs="Garamond" w:eastAsia="Garamond" w:hAnsi="Garamond"/>
        <w:i w:val="0"/>
        <w:iCs w:val="0"/>
        <w:smallCaps w:val="0"/>
        <w:strike w:val="0"/>
        <w:color w:val="000000"/>
        <w:u w:val="none"/>
        <w:shd w:fill="auto" w:val="clear"/>
        <w:vertAlign w:val="baseline"/>
      </w:rPr>
      <w:fldChar w:fldCharType="begin"/>
      <w:instrText xml:space="preserve">PAGE</w:instrText>
      <w:fldChar w:fldCharType="separate"/>
      <w:fldChar w:fldCharType="end"/>
    </w:r>
    <w:r>
      <w:rPr>
        <w:rtl w:val="0"/>
      </w:rPr>
    </w:r>
  </w:p>
  <w:p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aramond" w:cs="Garamond" w:eastAsia="Garamond" w:hAnsi="Garamond"/>
        <w:i w:val="0"/>
        <w:iCs w:val="0"/>
        <w:smallCaps w:val="0"/>
        <w:strike w:val="0"/>
        <w:color w:val="000000"/>
        <w:u w:val="none"/>
        <w:shd w:fill="auto" w:val="clear"/>
        <w:vertAlign w:val="baseline"/>
      </w:rPr>
    </w:pPr>
    <w:r>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20">
    <w:pPr>
      <w:jc w:val="center"/>
      <w:rPr>
        <w:rFonts w:ascii="Arial" w:cs="Arial" w:eastAsia="Arial" w:hAnsi="Arial"/>
        <w:color w:val="b7b7b7"/>
        <w:sz w:val="18"/>
        <w:szCs w:val="18"/>
      </w:rPr>
    </w:pPr>
    <w:r>
      <w:rPr>
        <w:rFonts w:ascii="Arial" w:cs="Arial" w:eastAsia="Arial" w:hAnsi="Arial"/>
        <w:color w:val="b7b7b7"/>
        <w:sz w:val="18"/>
        <w:szCs w:val="18"/>
        <w:rtl w:val="0"/>
      </w:rPr>
      <w:t xml:space="preserve">ENGLISH LEARNING REFERENCE</w:t>
    </w:r>
  </w:p>
  <w:p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Garamond-regular.ttf"/><Relationship Id="rId4" Type="http://schemas.openxmlformats.org/officeDocument/2006/relationships/font" Target="fonts/Garamond-bold.ttf"/><Relationship Id="rId5" Type="http://schemas.openxmlformats.org/officeDocument/2006/relationships/font" Target="fonts/Garamond-italic.ttf"/><Relationship Id="rId6"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