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pStyle w:val="Title"/>
        <w:jc w:val="center"/>
        <w:rPr>
          <w:rFonts w:ascii="Garamond" w:cs="Garamond" w:eastAsia="Garamond" w:hAnsi="Garamond"/>
          <w:b w:val="1"/>
          <w:bCs w:val="1"/>
          <w:sz w:val="48"/>
          <w:szCs w:val="48"/>
        </w:rPr>
      </w:pPr>
      <w:r>
        <w:rPr>
          <w:rFonts w:ascii="Garamond" w:cs="Garamond" w:eastAsia="Garamond" w:hAnsi="Garamond"/>
          <w:b w:val="1"/>
          <w:bCs w:val="1"/>
          <w:sz w:val="48"/>
          <w:szCs w:val="48"/>
          <w:rtl w:val="0"/>
          <w:color w:val="000000"/>
        </w:rPr>
        <w:t xml:space="preserve">Reading Comprehension</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pPr>
      <w:r>
        <w:rPr>
          <w:rFonts w:ascii="Garamond" w:cs="Garamond" w:eastAsia="Garamond" w:hAnsi="Garamond"/>
          <w:rtl w:val="0"/>
          <w:b w:val="1"/>
          <w:color w:val="000000"/>
        </w:rPr>
        <w:t xml:space="preserve">To:</w:t>
      </w:r>
      <w:r>
        <w:rPr>
          <w:rFonts w:ascii="Garamond" w:cs="Garamond" w:eastAsia="Garamond" w:hAnsi="Garamond"/>
          <w:rtl w:val="0"/>
          <w:b w:val="0"/>
          <w:color w:val="000000"/>
        </w:rPr>
        <w:tab/>
        <w:t xml:space="preserve">English learners and tutoring assistants</w:t>
      </w:r>
    </w:p>
    <w:p w14:paraId="00000005">
      <w:pPr>
        <w:ind w:firstLine="720"/>
        <w:jc w:val="both"/>
        <w:rPr>
          <w:rFonts w:ascii="Garamond" w:cs="Garamond" w:eastAsia="Garamond" w:hAnsi="Garamond"/>
        </w:rPr>
      </w:pPr>
      <w:r>
        <w:rPr>
          <w:rFonts w:ascii="Garamond" w:cs="Garamond" w:eastAsia="Garamond" w:hAnsi="Garamond"/>
          <w:rtl w:val="0"/>
          <w:color w:val="000000"/>
        </w:rPr>
        <w:t xml:space="preserve">Level B1 to B2   Reference EL05</w:t>
      </w:r>
    </w:p>
    <w:p w14:paraId="00000006">
      <w:pPr>
        <w:jc w:val="both"/>
        <w:rPr>
          <w:rFonts w:ascii="Garamond" w:cs="Garamond" w:eastAsia="Garamond" w:hAnsi="Garamond"/>
        </w:rPr>
      </w:pPr>
      <w:r>
        <w:rPr>
          <w:rFonts w:ascii="Garamond" w:cs="Garamond" w:eastAsia="Garamond" w:hAnsi="Garamond"/>
          <w:rtl w:val="0"/>
          <w:b w:val="1"/>
          <w:color w:val="000000"/>
        </w:rPr>
        <w:t xml:space="preserve">From:</w:t>
      </w:r>
      <w:r>
        <w:rPr>
          <w:rFonts w:ascii="Garamond" w:cs="Garamond" w:eastAsia="Garamond" w:hAnsi="Garamond"/>
          <w:rtl w:val="0"/>
          <w:b w:val="0"/>
          <w:color w:val="000000"/>
        </w:rPr>
        <w:tab/>
        <w:t xml:space="preserve">Study Trail English Learning Materials</w:t>
      </w:r>
    </w:p>
    <w:p w14:paraId="00000007">
      <w:pPr>
        <w:jc w:val="both"/>
        <w:rPr>
          <w:rFonts w:ascii="Garamond" w:cs="Garamond" w:eastAsia="Garamond" w:hAnsi="Garamond"/>
        </w:rPr>
      </w:pPr>
      <w:r>
        <w:rPr>
          <w:rFonts w:ascii="Garamond" w:cs="Garamond" w:eastAsia="Garamond" w:hAnsi="Garamond"/>
          <w:rtl w:val="0"/>
          <w:b w:val="1"/>
          <w:color w:val="000000"/>
        </w:rPr>
        <w:t xml:space="preserve">Date:</w:t>
      </w:r>
      <w:r>
        <w:rPr>
          <w:rFonts w:ascii="Garamond" w:cs="Garamond" w:eastAsia="Garamond" w:hAnsi="Garamond"/>
          <w:rtl w:val="0"/>
          <w:b w:val="0"/>
          <w:color w:val="000000"/>
        </w:rPr>
        <w:tab/>
        <w:t xml:space="preserve">5 October 2026</w:t>
      </w:r>
    </w:p>
    <w:p w14:paraId="00000008">
      <w:pPr>
        <w:pBdr>
          <w:bottom w:color="000000" w:space="1" w:sz="6" w:val="single"/>
        </w:pBdr>
        <w:jc w:val="both"/>
        <w:rPr>
          <w:rFonts w:ascii="Garamond" w:cs="Garamond" w:eastAsia="Garamond" w:hAnsi="Garamond"/>
        </w:rPr>
      </w:pPr>
      <w:r>
        <w:rPr>
          <w:rFonts w:ascii="Garamond" w:cs="Garamond" w:eastAsia="Garamond" w:hAnsi="Garamond"/>
          <w:rtl w:val="0"/>
          <w:b w:val="1"/>
          <w:color w:val="000000"/>
        </w:rPr>
        <w:t xml:space="preserve">Re:</w:t>
      </w:r>
      <w:r>
        <w:rPr>
          <w:rFonts w:ascii="Garamond" w:cs="Garamond" w:eastAsia="Garamond" w:hAnsi="Garamond"/>
          <w:rtl w:val="0"/>
          <w:b w:val="0"/>
          <w:color w:val="000000"/>
        </w:rPr>
        <w:tab/>
        <w:t xml:space="preserve">EL05 Main ideas inference evidence and vocabulary</w:t>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Learning Context</w:t>
      </w:r>
    </w:p>
    <w:p w14:paraId="0000000C">
      <w:pPr>
        <w:spacing w:line="360" w:lineRule="auto"/>
        <w:jc w:val="both"/>
        <w:rPr>
          <w:rFonts w:ascii="Garamond" w:cs="Garamond" w:eastAsia="Garamond" w:hAnsi="Garamond"/>
        </w:rPr>
      </w:pPr>
      <w:r>
        <w:rPr>
          <w:rFonts w:ascii="Garamond" w:cs="Garamond" w:eastAsia="Garamond" w:hAnsi="Garamond"/>
          <w:rtl w:val="0"/>
          <w:color w:val="000000"/>
        </w:rPr>
        <w:tab/>
        <w:t xml:space="preserve">A reliable reading answer connects its claim to passage evidence. Identify main ideas, locate details, and separate explicit statements from supported inferences. Skimming finds the overall topic; scanning finds a particular fact. Read the relevant lines closely whenever a question asks for explanation or comparison.</w:t>
      </w:r>
    </w:p>
    <w:p w14:paraId="0000000D">
      <w:pPr>
        <w:spacing w:line="360" w:lineRule="auto"/>
        <w:jc w:val="both"/>
        <w:rPr>
          <w:rFonts w:ascii="Garamond" w:cs="Garamond" w:eastAsia="Garamond" w:hAnsi="Garamond"/>
        </w:rPr>
      </w:pPr>
      <w:r>
        <w:rPr>
          <w:rFonts w:ascii="Garamond" w:cs="Garamond" w:eastAsia="Garamond" w:hAnsi="Garamond"/>
          <w:rtl w:val="0"/>
          <w:color w:val="000000"/>
        </w:rPr>
        <w:tab/>
        <w:t xml:space="preserve">A main idea expresses the central point rather than one isolated example. A supporting detail develops that point. An inference is a conclusion supported by the passage but not necessarily stated in the same words. A distractor is a plausible-looking incorrect answer. It may borrow vocabulary from the text while changing a quantity, cause, time, or degree of certainty.</w:t>
      </w:r>
    </w:p>
    <w:p w14:paraId="0000000E">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Learning objectives in this memorandum</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Find the main idea and relevant supporting details</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Justify an inference with passage evidence</w:t>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Interpret a word without losing its local context</w:t>
      </w:r>
    </w:p>
    <w:p w14:paraId="00000012">
      <w:pPr>
        <w:spacing w:line="360" w:lineRule="auto"/>
        <w:jc w:val="both"/>
        <w:rPr>
          <w:rFonts w:ascii="Garamond" w:cs="Garamond" w:eastAsia="Garamond" w:hAnsi="Garamond"/>
        </w:rPr>
      </w:pPr>
      <w:r>
        <w:rPr>
          <w:rFonts w:ascii="Garamond" w:cs="Garamond" w:eastAsia="Garamond" w:hAnsi="Garamond"/>
          <w:rtl w:val="0"/>
          <w:color w:val="000000"/>
        </w:rPr>
        <w:tab/>
        <w:t xml:space="preserve">Begin by reading the title and the opening and closing sentences of each paragraph. Predict the topic, then check that prediction against the whole passage. A topic such as a library project is broader than a main idea such as a small change improved access while requiring continuing review. Do not select a main idea merely because it contains the most repeated word.</w:t>
      </w:r>
    </w:p>
    <w:p w14:paraId="00000013">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For a detail question, locate the relevant sentence and read the surrounding lines. A number can describe users, seats, weeks, or responses; matching the digits alone is unsafe. Pay attention to qualifiers such as some, most, only, occasionally, and may. Replacing some with all changes the claim. Also distinguish before the project from during the project.</w:t>
      </w:r>
    </w:p>
    <w:p w14:paraId="00000014">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For an inference, combine relevant clues without adding unsupported information. If seats were full and visitors complained about limited space, you can infer that demand sometimes exceeded available capacity. You cannot infer that everyone preferred longer opening hours unless the passage supports that claim. A cautious answer often uses sometimes, suggests, or may when the evidence is limited.</w:t>
      </w:r>
    </w:p>
    <w:p w14:paraId="00000015">
      <w:pPr>
        <w:spacing w:line="360" w:lineRule="auto"/>
        <w:jc w:val="both"/>
        <w:rPr>
          <w:rFonts w:ascii="Garamond" w:cs="Garamond" w:eastAsia="Garamond" w:hAnsi="Garamond"/>
        </w:rPr>
      </w:pPr>
      <w:r>
        <w:rPr>
          <w:rFonts w:ascii="Garamond" w:cs="Garamond" w:eastAsia="Garamond" w:hAnsi="Garamond"/>
          <w:rtl w:val="0"/>
          <w:color w:val="000000"/>
        </w:rPr>
        <w:tab/>
        <w:t xml:space="preserve">Infer unfamiliar vocabulary from grammar and nearby meaning. Determine whether the word is a noun, verb, adjective, or adverb. Then substitute a possible meaning and check whether the sentence still makes sense. Track pronouns and references: this change may refer to a whole previous action, not just the nearest noun. Link these reference skills to EL02 Articles and Countability, where identifiable referents also matter.</w:t>
      </w:r>
    </w:p>
    <w:p w14:paraId="00000016">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Rules and Worked Examples</w:t>
      </w:r>
    </w:p>
    <w:p w14:paraId="00000017">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Read the following original practice passage before answering EL05 Q1 to Q5. All numerical questions refer only to this passage.</w:t>
      </w:r>
    </w:p>
    <w:p w14:paraId="00000018">
      <w:pPr>
        <w:spacing w:line="240" w:lineRule="auto"/>
        <w:jc w:val="both"/>
        <w:rPr>
          <w:rFonts w:ascii="Garamond" w:cs="Garamond" w:eastAsia="Garamond" w:hAnsi="Garamond"/>
        </w:rPr>
      </w:pPr>
      <w:r>
        <w:rPr>
          <w:rFonts w:ascii="Garamond" w:cs="Garamond" w:eastAsia="Garamond" w:hAnsi="Garamond"/>
          <w:rtl w:val="0"/>
          <w:color w:val="000000"/>
        </w:rPr>
        <w:t xml:space="preserve">A school library tested longer opening hours for four weeks. It stayed open until six on Tuesdays and Thursdays instead of closing at four. Twelve volunteer students helped staff during the trial. The library counted 180 visits in the extra hours. In a questionnaire, 45 respondents said that the later hours made it easier to study after class. Some visitors said that seats were occasionally full. Staff did not add more seats during the trial. At the end, the school kept the later Thursday opening but returned Tuesday to its earlier closing time because two volunteers were no longer available. The librarian said that the arrangement would be reviewed after another month.</w:t>
      </w:r>
    </w:p>
    <w:p w14:paraId="00000019">
      <w:pPr>
        <w:spacing w:line="360" w:lineRule="auto"/>
        <w:jc w:val="both"/>
        <w:rPr>
          <w:rFonts w:ascii="Garamond" w:cs="Garamond" w:eastAsia="Garamond" w:hAnsi="Garamond"/>
        </w:rPr>
      </w:pPr>
      <w:r>
        <w:rPr>
          <w:rFonts w:ascii="Garamond" w:cs="Garamond" w:eastAsia="Garamond" w:hAnsi="Garamond"/>
          <w:rtl w:val="0"/>
          <w:color w:val="000000"/>
        </w:rPr>
        <w:tab/>
        <w:t xml:space="preserve">The passage describes a limited trial and a qualified decision, not a permanent change to every weekday. The 180 figure counts visits rather than 180 different people. The questionnaire statement refers to 45 respondents and does not identify all visitors' opinions. Occasionally full supports an inference about capacity at some times, but it does not prove that seats were full throughout the trial. The staffing explanation applies to the Tuesday decision.</w:t>
      </w:r>
    </w:p>
    <w:p w14:paraId="0000001A">
      <w:pPr>
        <w:spacing w:line="360" w:lineRule="auto"/>
        <w:jc w:val="both"/>
        <w:rPr>
          <w:rFonts w:ascii="Garamond" w:cs="Garamond" w:eastAsia="Garamond" w:hAnsi="Garamond"/>
        </w:rPr>
      </w:pPr>
      <w:r>
        <w:rPr>
          <w:rFonts w:ascii="Garamond" w:cs="Garamond" w:eastAsia="Garamond" w:hAnsi="Garamond"/>
          <w:rtl w:val="0"/>
          <w:color w:val="000000"/>
        </w:rPr>
        <w:tab/>
        <w:t xml:space="preserve">The school permanently extended all hours is too broad: Thursday kept the later schedule and another review was planned. Exactly 180 unique visitors is unsupported because visits may repeat. Tuesday changed back because two volunteers became unavailable, not because learners necessarily disliked the later opening.</w:t>
      </w:r>
    </w:p>
    <w:p w14:paraId="8C86FEB6">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Practice Questions</w:t>
      </w:r>
    </w:p>
    <w:p w14:paraId="73A8C71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EL05 Q1 What was the length of the trial?</w:t>
      </w:r>
    </w:p>
    <w:p w14:paraId="E4349E98">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EL05 Q2 How many volunteer students helped during the trial?</w:t>
      </w:r>
    </w:p>
    <w:p w14:paraId="FF78EDC8">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EL05 Q3 Did 180 visits necessarily mean 180 different visitors? Explain.</w:t>
      </w:r>
    </w:p>
    <w:p w14:paraId="488C56A0">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EL05 Q4 Why did Tuesday return to the earlier closing time?</w:t>
      </w:r>
    </w:p>
    <w:p w14:paraId="F2EAC026">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EL05 Q5 What reasonable inference follows from the statement that seats were occasionally full?</w:t>
      </w:r>
    </w:p>
    <w:p w14:paraId="0000001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Give a short answer and supporting passage phrase for each question. Mark each answer as a detail or inference. Then summarize the benefit and staffing limitation in two sentences. The passage gives no costs, exam results, satisfaction percentage, or seat count.</w:t>
      </w:r>
    </w:p>
    <w:p w14:paraId="0000001D">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Answer Key and Review</w:t>
      </w:r>
    </w:p>
    <w:p w14:paraId="C0CABC22">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EL05 A1 Four weeks. The opening sentence states the trial length explicitly.</w:t>
      </w:r>
    </w:p>
    <w:p w14:paraId="02BD47A3">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EL05 A2 Twelve volunteer students. This is an explicit detail, distinct from the number of questionnaire respondents.</w:t>
      </w:r>
    </w:p>
    <w:p w14:paraId="4BA3CF91">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EL05 A3 No. The text counts visits; one person could have visited more than once. It does not state the unique visitor count.</w:t>
      </w:r>
    </w:p>
    <w:p w14:paraId="5A297B91">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EL05 A4 Two volunteers were no longer available. This staffing limitation is the stated reason for the Tuesday decision.</w:t>
      </w:r>
    </w:p>
    <w:p w14:paraId="C640111B">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EL05 A5 Demand sometimes reached or exceeded the available seating capacity. This is a reasonable limited inference, not proof that the room was always full.</w:t>
      </w:r>
    </w:p>
    <w:p w14:paraId="B10AA41E">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Preserve quantities, time periods, and certainty. If the passage does not provide a requested fact, say so instead of inventing an answer.</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ENGLISH LEARNING REFERENCE</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