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UNIVERSIDAD DE LAS AMÉRICAS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FACULTAD DE INGENIERÍA Y NEGOCIOS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Ingeniería de Ejecución en Informática</w:t>
      </w: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PROYECTO DE TÍTULO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4"/>
        </w:rPr>
        <w:t>Diseño e implementación de un ecosistema de observabilidad sintética y auto-remediación autónoma de servicios críticos mediante tecnología RPA y persistencia SQL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EST-001</w:t>
      </w: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Estándar de Identificación, Nomenclatura, Versionado y Trazabilidad del Proyecto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Reglas actualizadas para V2, legacy, auditoría, Git y evidencias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Sistema de Gestión Documental del Proyecto (SGDP)</w:t>
      </w:r>
    </w:p>
    <w:p>
      <w:pPr>
        <w:spacing w:after="120"/>
        <w:jc w:val="center"/>
      </w:pPr>
    </w:p>
    <w:p>
      <w:pPr>
        <w:spacing w:after="120"/>
        <w:jc w:val="center"/>
      </w:pPr>
      <w:r>
        <w:rPr>
          <w:rFonts w:ascii="Times New Roman" w:hAnsi="Times New Roman"/>
          <w:b/>
          <w:sz w:val="22"/>
        </w:rPr>
        <w:t>AUTOR(ES):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Bryan Soto Fariña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Felix Quispe Angulo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Profesor guía: Sr. Emilio Andrés Flores A.</w:t>
      </w:r>
    </w:p>
    <w:p>
      <w:pPr>
        <w:spacing w:after="120"/>
        <w:jc w:val="center"/>
      </w:pPr>
      <w:r>
        <w:rPr>
          <w:rFonts w:ascii="Times New Roman" w:hAnsi="Times New Roman"/>
          <w:b w:val="0"/>
          <w:sz w:val="22"/>
        </w:rPr>
        <w:t>Santiago, 2026</w:t>
      </w:r>
    </w:p>
    <w:p>
      <w:r>
        <w:br w:type="page"/>
      </w:r>
    </w:p>
    <w:p>
      <w:pPr>
        <w:pStyle w:val="TtuloTDC"/>
      </w:pPr>
      <w:r>
        <w:rPr>
          <w:rFonts w:ascii="Times New Roman" w:hAnsi="Times New Roman"/>
          <w:b w:val="0"/>
          <w:i w:val="0"/>
        </w:rPr>
        <w:t>Índice de tablas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1. Control documental del Estándar de Identificación, Nomenclatura, Versionado y Trazabilidad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2. Historial de versiones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3. Principios de identificación y trazabilidad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4. Codificación oficial de artefactos del SGDP V2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5. Estados documentales del proyecto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6. Convenciones de versionado documental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7. Convenciones para nombres de archivos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8. Estructura de carpetas para V2 y SGDP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9. Relaciones mínimas entre artefactos del proyecto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10. Convenciones para ramas Git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11. Convenciones para commits</w:t>
      </w:r>
    </w:p>
    <w:p>
      <w:pPr>
        <w:pStyle w:val="TDC1"/>
      </w:pPr>
      <w:r>
        <w:rPr>
          <w:rFonts w:ascii="Times New Roman" w:hAnsi="Times New Roman"/>
          <w:b w:val="0"/>
          <w:i w:val="0"/>
        </w:rPr>
        <w:t>Tabla 12. Criterios mínimos para promover componentes desde legacy a V2</w:t>
      </w:r>
    </w:p>
    <w:p>
      <w:r>
        <w:br w:type="page"/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Control documental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1. Control documental de Estándar de Identificación, Nomenclatura, Versionado y Trazabilidad del Proyecto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48"/>
        <w:gridCol w:w="6912"/>
      </w:tblGrid>
      <w:tr>
        <w:trPr/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Campo</w:t>
            </w:r>
          </w:p>
        </w:tc>
        <w:tc>
          <w:tcPr>
            <w:tcW w:type="dxa" w:w="69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Valor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Código documental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EST-001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Nombre del documento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Estándar de Identificación, Nomenclatura, Versionado y Trazabilidad del Proyecto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Proyecto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Diseño e implementación de un ecosistema de observabilidad sintética y auto-remediación autónoma de servicios críticos mediante tecnología RPA y persistencia SQL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Clasificación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Estándar normativo interno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Versión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0.3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Estado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 — alineado a V2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Fecha de emisión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08-07-2026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Responsable documental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Profesor guía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Sr. Emilio Andrés Flores A.</w:t>
            </w:r>
          </w:p>
        </w:tc>
      </w:tr>
      <w:tr>
        <w:trPr/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Dependencia principal</w:t>
            </w:r>
          </w:p>
        </w:tc>
        <w:tc>
          <w:tcPr>
            <w:tcW w:type="dxa" w:w="69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 v0.3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2. Historial de versiones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101"/>
        <w:gridCol w:w="1376"/>
        <w:gridCol w:w="1789"/>
        <w:gridCol w:w="3716"/>
        <w:gridCol w:w="1378"/>
      </w:tblGrid>
      <w:tr>
        <w:trPr/>
        <w:tc>
          <w:tcPr>
            <w:tcW w:type="dxa" w:w="1101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Versión</w:t>
            </w:r>
          </w:p>
        </w:tc>
        <w:tc>
          <w:tcPr>
            <w:tcW w:type="dxa" w:w="137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Fecha</w:t>
            </w:r>
          </w:p>
        </w:tc>
        <w:tc>
          <w:tcPr>
            <w:tcW w:type="dxa" w:w="1789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Autor</w:t>
            </w:r>
          </w:p>
        </w:tc>
        <w:tc>
          <w:tcPr>
            <w:tcW w:type="dxa" w:w="37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Descripción del cambio</w:t>
            </w:r>
          </w:p>
        </w:tc>
        <w:tc>
          <w:tcPr>
            <w:tcW w:type="dxa" w:w="137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Estado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0.1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Creación inicial del estándar documental y de trazabilidad.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0.2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Normalización de nomenclaturas, códigos oficiales, evidencias, Git y estructura documental.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</w:t>
            </w:r>
          </w:p>
        </w:tc>
      </w:tr>
      <w:tr>
        <w:trPr/>
        <w:tc>
          <w:tcPr>
            <w:tcW w:type="dxa" w:w="11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0.3</w:t>
            </w:r>
          </w:p>
        </w:tc>
        <w:tc>
          <w:tcPr>
            <w:tcW w:type="dxa" w:w="13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08-07-2026</w:t>
            </w:r>
          </w:p>
        </w:tc>
        <w:tc>
          <w:tcPr>
            <w:tcW w:type="dxa" w:w="17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Bryan Soto Fariña</w:t>
            </w:r>
          </w:p>
        </w:tc>
        <w:tc>
          <w:tcPr>
            <w:tcW w:type="dxa" w:w="37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Alineación con reconstrucción V2, legacy, auditoría, baseline, SSOT y checklist de entrada de componentes.</w:t>
            </w:r>
          </w:p>
        </w:tc>
        <w:tc>
          <w:tcPr>
            <w:tcW w:type="dxa" w:w="137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Propósito</w:t>
      </w:r>
    </w:p>
    <w:p>
      <w:r>
        <w:rPr>
          <w:rFonts w:ascii="Times New Roman" w:hAnsi="Times New Roman"/>
          <w:b w:val="0"/>
          <w:i w:val="0"/>
        </w:rPr>
        <w:t>EST-001 establece las reglas oficiales de identificación, nomenclatura, versionado y trazabilidad aplicables a documentos, código, evidencias, pruebas, auditorías, baselines y componentes técnicos de la reconstrucción V2.</w:t>
      </w:r>
    </w:p>
    <w:p>
      <w:r>
        <w:rPr>
          <w:rFonts w:ascii="Times New Roman" w:hAnsi="Times New Roman"/>
          <w:b w:val="0"/>
          <w:i w:val="0"/>
        </w:rPr>
        <w:t>La versión 0.3 incorpora reglas explícitas para diferenciar V1 histórica, V2 oficial, cambios candidatos y elementos excluidos temporalmente.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Alcance de aplicación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Documentos Word, PDF, Markdown y artefactos formales del SGDP.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Requisitos, arquitectura, pruebas, evidencias, riesgos, cambios y registros.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Ramas, commits, tags, releases y baselines en GitHub.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Estructura del repositorio: v2/, legacy/, auditoria/ y docs/.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Componentes técnicos candidatos que migren desde legacy a V2.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Principios de identificación y trazabilidad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3. Principios de identificación y trazabilidad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3456"/>
        <w:gridCol w:w="4032"/>
      </w:tblGrid>
      <w:tr>
        <w:trPr/>
        <w:tc>
          <w:tcPr>
            <w:tcW w:type="dxa" w:w="187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Principio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Definición</w:t>
            </w:r>
          </w:p>
        </w:tc>
        <w:tc>
          <w:tcPr>
            <w:tcW w:type="dxa" w:w="40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Implicancia práctica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Unicidad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Cada artefacto formal posee un identificador único.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 se duplican códigos para documentos, pruebas o evidencias.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Persistencia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El identificador no cambia aunque el contenido evolucione.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Una nueva versión mantiene el código original.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Separación histórica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Lo legacy se conserva, pero no se promueve automáticamente a V2.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V1 no equivale a línea base V2.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Correspondencia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Una capacidad oficial requiere código, documento, prueba y evidencia.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 se declaran capacidades sin demostración.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Reproducibilidad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Toda baseline técnica debe poder reconstruirse desde Git.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Se exige commit/tag y Docker validado antes de aprobación.</w:t>
            </w:r>
          </w:p>
        </w:tc>
      </w:tr>
      <w:tr>
        <w:trPr/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SSOT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Cada definición tiene una fuente única autorizada.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Las repeticiones deben referenciar, no redefinir.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Codificación oficial de artefactos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4. Codificación oficial de artefactos del SGDP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1440"/>
        <w:gridCol w:w="1440"/>
        <w:gridCol w:w="4248"/>
      </w:tblGrid>
      <w:tr>
        <w:trPr/>
        <w:tc>
          <w:tcPr>
            <w:tcW w:type="dxa" w:w="22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Tipo de artefacto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Formato oficial</w:t>
            </w:r>
          </w:p>
        </w:tc>
        <w:tc>
          <w:tcPr>
            <w:tcW w:type="dxa" w:w="144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Ejemplo</w:t>
            </w:r>
          </w:p>
        </w:tc>
        <w:tc>
          <w:tcPr>
            <w:tcW w:type="dxa" w:w="42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Uso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Catálogo Maestro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DOC-000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Documento raíz del SGDP.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Documento rector o técnico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DOC-01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Charter, requisitos, arquitectura, pruebas, manuales e informe.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Blueprint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BP-XXX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BP-001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Diseño previo de documentos o instrumentos.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Estándar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EST-001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Normas internas obligatorias.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Baseline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BL-001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Congelamiento documental o técnico.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Auditoría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AUD-004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Hallazgos, decisiones y registros de control.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Requisito funcional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REQ-F-XXX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REQ-F-001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Funcionalidad esperada del sistema.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Requisito no funcional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REQ-NF-XXX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REQ-NF-001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Calidad, rendimiento, disponibilidad o mantenibilidad.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Requisito de seguridad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REQ-SEC-XXX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REQ-SEC-001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Comportamiento defensivo y controles.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Caso de prueba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TEST-XXX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TEST-004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Validación manual o automatizada.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Evidencia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EVD-XXX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EVD-021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Prueba objetiva con hash o registro verificable.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Riesgo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RGO-XXX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RGO-001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Riesgo técnico, académico, operativo o documental.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Solicitud de cambio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SDC-XXX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SDC-001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Cambio mayor con análisis de impacto.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Decisión arquitectónica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ADR-XXX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ADR-001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Decisión técnica significativa.</w:t>
            </w:r>
          </w:p>
        </w:tc>
      </w:tr>
      <w:tr>
        <w:trPr/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Registro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REG-XXX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REG-001</w:t>
            </w:r>
          </w:p>
        </w:tc>
        <w:tc>
          <w:tcPr>
            <w:tcW w:type="dxa" w:w="42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Minuta, bitácora, checklist o registro operativo.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Estados documentales y versionado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5. Estados documentales del proyecto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3312"/>
        <w:gridCol w:w="4464"/>
      </w:tblGrid>
      <w:tr>
        <w:trPr/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Estado</w:t>
            </w:r>
          </w:p>
        </w:tc>
        <w:tc>
          <w:tcPr>
            <w:tcW w:type="dxa" w:w="331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Significado</w:t>
            </w:r>
          </w:p>
        </w:tc>
        <w:tc>
          <w:tcPr>
            <w:tcW w:type="dxa" w:w="446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Condición de uso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Artefacto en elaboración inicial.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Puede modificarse dentro de la fase activa.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controlado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Artefacto formal con estructura y versión.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Debe preservar historial de cambios.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En revisión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Contenido completo pendiente de revisión técnica o metodológica.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 agrega alcance nuevo, solo correcciones.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Aprobado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Artefacto validado para uso formal.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Puede ser citado por otros documentos.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Congelado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Artefacto aprobado y cerrado para baseline.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Solo cambia mediante SDC.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Obsoleto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Artefacto reemplazado por versión posterior.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Se conserva como histórico.</w:t>
            </w:r>
          </w:p>
        </w:tc>
      </w:tr>
      <w:tr>
        <w:trPr/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Histórico/Legacy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Material preservado como antecedente.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 representa capacidad oficial V2.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6. Convenciones de versionado documental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1584"/>
        <w:gridCol w:w="5760"/>
      </w:tblGrid>
      <w:tr>
        <w:trPr/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Tipo de versión</w:t>
            </w:r>
          </w:p>
        </w:tc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Formato</w:t>
            </w:r>
          </w:p>
        </w:tc>
        <w:tc>
          <w:tcPr>
            <w:tcW w:type="dxa" w:w="57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Criterio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inicial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v0.1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Primera versión estructurada.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Borrador incremental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v0.2, v0.3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Ajustes antes de revisión formal.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Versión aprobada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v1.0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Artefacto aprobado y utilizable como referencia oficial.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Corrección menor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v1.1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Corrección sin cambio de alcance o arquitectura.</w:t>
            </w:r>
          </w:p>
        </w:tc>
      </w:tr>
      <w:tr>
        <w:trPr/>
        <w:tc>
          <w:tcPr>
            <w:tcW w:type="dxa" w:w="20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Cambio mayor</w:t>
            </w:r>
          </w:p>
        </w:tc>
        <w:tc>
          <w:tcPr>
            <w:tcW w:type="dxa" w:w="15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v2.0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Cambio que altera alcance, arquitectura, baseline o gobierno.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Nomenclatura de archivos y carpetas</w:t>
      </w:r>
    </w:p>
    <w:p>
      <w:r>
        <w:rPr>
          <w:rFonts w:ascii="Times New Roman" w:hAnsi="Times New Roman"/>
          <w:b w:val="0"/>
          <w:i w:val="0"/>
        </w:rPr>
        <w:t>La regla recomendada para archivos formales es: CODIGO — Nombre descriptivo_vX.Y.ext. Se aceptan espacios y guion largo cuando forman parte del estándar visual vigente del SGDP, siempre que el código, nombre y versión sean inequívocos.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7. Convenciones para nombres de archivos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56"/>
        <w:gridCol w:w="2448"/>
        <w:gridCol w:w="3456"/>
      </w:tblGrid>
      <w:tr>
        <w:trPr/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Ejemplo correcto</w:t>
            </w:r>
          </w:p>
        </w:tc>
        <w:tc>
          <w:tcPr>
            <w:tcW w:type="dxa" w:w="244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Ejemplo incorrecto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Motivo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DOC-00 — Modelo Gobierno Proyecto_v0.3.docx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Gobierno final.docx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Incluye código, nombre estable y versión.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EST-001 — Estándar de Identificación..._v0.3.docx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normas.docx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Permite búsqueda y trazabilidad.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EVD-014_Prueba_API_Incidentes_HTTP200_2026-07-01.png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captura buena.png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Identifica evidencia, contexto y fecha.</w:t>
            </w:r>
          </w:p>
        </w:tc>
      </w:tr>
      <w:tr>
        <w:trPr/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AUD-004_Registro_Movimiento_Legacy_V1.md</w:t>
            </w:r>
          </w:p>
        </w:tc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movi archivos.md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Registra acción auditable.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Estructura oficial del repositorio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8. Estructura de carpetas para V2 y SGDP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4320"/>
        <w:gridCol w:w="2736"/>
      </w:tblGrid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Ruta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Propósito</w:t>
            </w:r>
          </w:p>
        </w:tc>
        <w:tc>
          <w:tcPr>
            <w:tcW w:type="dxa" w:w="273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Regla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v2/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Raíz limpia de reconstrucción V2.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 recibe código heredado sin checklist de entrada.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legacy/proyecto-v1/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Preservación histórica de V1.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 se usa como evidencia V2 sin revalidación.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auditoria/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Hallazgos, decisiones y registros.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Debe mantener trazabilidad con cambios relevantes.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docs/00-blueprints/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Blueprints documentales.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BP-XXX.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docs/01-documentos-rectores/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Catálogo, gobierno, charter y baselines.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DOC-XXX / BL-XXX.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docs/02-estandares/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Estándares normativos.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EST-XXX.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docs/03-requisitos/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Requisitos y trazabilidad.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REQ-XXX.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docs/04-arquitectura/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Arquitectura y ADR.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DOC-03 / ADR-XXX.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docs/05-pruebas/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Plan, casos y resultados de pruebas.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TEST-XXX.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docs/06-evidencias/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Evidencias normalizadas.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EVD-XXX.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docs/07-manuales/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Manuales técnicos y de operación.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DOC-07 / DOC-08.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docs/08-informe-defensa/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Informe y material de defensa.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DOC-09 y anexos.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docs/09-gestion/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Riesgos, cambios, actas y registros.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RGO / SDC / REG.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Trazabilidad entre artefactos</w:t>
      </w:r>
    </w:p>
    <w:p>
      <w:r>
        <w:rPr>
          <w:rFonts w:ascii="Times New Roman" w:hAnsi="Times New Roman"/>
          <w:b w:val="0"/>
          <w:i w:val="0"/>
        </w:rPr>
        <w:t>La cadena oficial de trazabilidad para V2 será: Requisito → Diseño → Implementación → Rama/Commit → Caso de Prueba → Evidencia → Documento Técnico → Informe/Defensa. La planificación en Kanban podrá referenciar épicas, features, historias y tareas, pero no reemplaza la trazabilidad documental.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9. Relaciones mínimas entre artefactos del proyecto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4"/>
        <w:gridCol w:w="3600"/>
        <w:gridCol w:w="3456"/>
      </w:tblGrid>
      <w:tr>
        <w:trPr/>
        <w:tc>
          <w:tcPr>
            <w:tcW w:type="dxa" w:w="230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Elemento origen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Debe vincularse con</w:t>
            </w:r>
          </w:p>
        </w:tc>
        <w:tc>
          <w:tcPr>
            <w:tcW w:type="dxa" w:w="34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Propósito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REQ-F / REQ-NF / REQ-SEC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Diseño, implementación, TEST, EVD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Demostrar origen y validación.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ADR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Requisito, componente, riesgo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Justificar decisiones técnicas.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TEST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 y EVD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Probar que la validación produjo evidencia.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EVD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TEST, requisito y documento asociado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Evitar evidencias aisladas.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SDC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Documentos, código, pruebas y baseline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Controlar impactos de cambios relevantes.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BL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Commit/tag, documentos y evidencias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Preservar referencia estable.</w:t>
            </w:r>
          </w:p>
        </w:tc>
      </w:tr>
      <w:tr>
        <w:trPr/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LEGACY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AUD-003 y checklist de entrada</w:t>
            </w:r>
          </w:p>
        </w:tc>
        <w:tc>
          <w:tcPr>
            <w:tcW w:type="dxa" w:w="34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Controlar herencia V1→V2.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Reglas para evidencias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Toda evidencia válida debe tener identificador EVD-XXX.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Debe indicar fecha, escenario, requisito, prueba, resultado y ubicación.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Cuando corresponda, debe incluir hash SHA-256.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Las evidencias V1 pueden conservarse, pero no se promueven automáticamente a V2.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La evidencia de demo debe generarse desde una baseline reproducible.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Convenciones para GitHub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10. Convenciones para ramas Git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3168"/>
        <w:gridCol w:w="4032"/>
      </w:tblGrid>
      <w:tr>
        <w:trPr/>
        <w:tc>
          <w:tcPr>
            <w:tcW w:type="dxa" w:w="2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Tipo de rama</w:t>
            </w:r>
          </w:p>
        </w:tc>
        <w:tc>
          <w:tcPr>
            <w:tcW w:type="dxa" w:w="316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Formato</w:t>
            </w:r>
          </w:p>
        </w:tc>
        <w:tc>
          <w:tcPr>
            <w:tcW w:type="dxa" w:w="403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Ejemplo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Principal estable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main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main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Reconstrucción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rebuild/v2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rebuild/v2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Documentación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docs/CODIGO-descripcion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docs/DOC-000-v2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Funcionalidad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feature/REQ-XXX-descripcion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feature/REQ-F-001-api-eventos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Corrección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fix/TEST-XXX-descripcion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fix/TEST-004-persistencia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Cambio urgente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hotfix/SDC-XXX-descripcion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hotfix/SDC-002-demo</w:t>
            </w:r>
          </w:p>
        </w:tc>
      </w:tr>
      <w:tr>
        <w:trPr/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Histórico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legacy/proyecto-v1</w:t>
            </w:r>
          </w:p>
        </w:tc>
        <w:tc>
          <w:tcPr>
            <w:tcW w:type="dxa" w:w="40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legacy/proyecto-v1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11. Convenciones para commits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96"/>
        <w:gridCol w:w="4320"/>
        <w:gridCol w:w="3744"/>
      </w:tblGrid>
      <w:tr>
        <w:trPr/>
        <w:tc>
          <w:tcPr>
            <w:tcW w:type="dxa" w:w="129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Tipo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Ejemplo</w:t>
            </w:r>
          </w:p>
        </w:tc>
        <w:tc>
          <w:tcPr>
            <w:tcW w:type="dxa" w:w="37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Uso</w:t>
            </w:r>
          </w:p>
        </w:tc>
      </w:tr>
      <w:tr>
        <w:trPr/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docs(DOC-000): alinea catálogo maestro con V2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Cambios documentales.</w:t>
            </w:r>
          </w:p>
        </w:tc>
      </w:tr>
      <w:tr>
        <w:trPr/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feat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feat(REQ-F-001): agrega endpoint de incidentes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Nueva funcionalidad.</w:t>
            </w:r>
          </w:p>
        </w:tc>
      </w:tr>
      <w:tr>
        <w:trPr/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fix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fix(TEST-003): corrige persistencia MySQL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Corrección de defecto.</w:t>
            </w:r>
          </w:p>
        </w:tc>
      </w:tr>
      <w:tr>
        <w:trPr/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test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test(TEST-007): agrega validación de monitor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Pruebas.</w:t>
            </w:r>
          </w:p>
        </w:tc>
      </w:tr>
      <w:tr>
        <w:trPr/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chore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chore(AUD-004): mueve V1 a legacy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Mantenimiento o reorganización.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Checklist de entrada de componentes a V2</w:t>
      </w:r>
    </w:p>
    <w:p>
      <w:pPr>
        <w:pStyle w:val="EstiloTabla"/>
      </w:pPr>
      <w:r>
        <w:rPr>
          <w:rFonts w:ascii="Times New Roman" w:hAnsi="Times New Roman"/>
          <w:b/>
          <w:i w:val="0"/>
        </w:rPr>
        <w:t>Tabla 12. Criterios mínimos para promover componentes desde legacy a V2</w:t>
      </w:r>
    </w:p>
    <w:tbl>
      <w:tblPr>
        <w:tblStyle w:val="Tablaconcuadrcula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3888"/>
        <w:gridCol w:w="3744"/>
      </w:tblGrid>
      <w:tr>
        <w:trPr/>
        <w:tc>
          <w:tcPr>
            <w:tcW w:type="dxa" w:w="172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Criterio</w:t>
            </w:r>
          </w:p>
        </w:tc>
        <w:tc>
          <w:tcPr>
            <w:tcW w:type="dxa" w:w="38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Condición mínima</w:t>
            </w:r>
          </w:p>
        </w:tc>
        <w:tc>
          <w:tcPr>
            <w:tcW w:type="dxa" w:w="374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/>
              </w:rPr>
              <w:t>Resultado esperado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Requisito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Existe REQ asociado.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El componente tiene razón documentada.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Diseño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Existe diseño o ADR.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La implementación no es improvisada.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Implementación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Código en v2/ y commit trazable.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Se separa de legacy.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Prueba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TEST manual o automatizado.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Hay validación objetiva.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Evidencia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EVD con hash cuando aplique.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Resultado defendible.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Documentación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Manual o sección técnica actualizada.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Operable y revisable.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Seguridad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No ejecuta acciones destructivas.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Remediación segura.</w:t>
            </w:r>
          </w:p>
        </w:tc>
      </w:tr>
      <w:tr>
        <w:trPr/>
        <w:tc>
          <w:tcPr>
            <w:tcW w:type="dxa" w:w="17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Revalidación</w:t>
            </w:r>
          </w:p>
        </w:tc>
        <w:tc>
          <w:tcPr>
            <w:tcW w:type="dxa" w:w="38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Comprueba estado posterior.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/>
            <w:r>
              <w:rPr>
                <w:rFonts w:ascii="Times New Roman" w:hAnsi="Times New Roman"/>
                <w:b w:val="0"/>
              </w:rPr>
              <w:t>Evita falsas recuperaciones.</w:t>
            </w:r>
          </w:p>
        </w:tc>
      </w:tr>
    </w:tbl>
    <w:p>
      <w:pPr>
        <w:spacing w:before="40" w:after="160"/>
      </w:pPr>
      <w:r>
        <w:rPr>
          <w:rFonts w:ascii="Times New Roman" w:hAnsi="Times New Roman"/>
          <w:b w:val="0"/>
          <w:i/>
        </w:rPr>
        <w:t>Fuente: Elaboración propia.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Criterios de cumplimiento del estándar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El artefacto posee código único, versión, estado y ubicación.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No contradice DOC-000, DOC-00, DOC-01 ni BL-001.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Diferencia explícitamente V1 histórica de V2 oficial.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No utiliza nomenclaturas obsoletas como CP-XX o EV-XX para nuevas evidencias.</w:t>
      </w:r>
    </w:p>
    <w:p>
      <w:pPr>
        <w:pStyle w:val="Listaconvietas"/>
      </w:pPr>
      <w:r>
        <w:rPr>
          <w:rFonts w:ascii="Times New Roman" w:hAnsi="Times New Roman"/>
          <w:b w:val="0"/>
          <w:i w:val="0"/>
        </w:rPr>
        <w:t>Toda capacidad técnica declarada puede relacionarse con requisito, prueba y evidencia.</w:t>
      </w:r>
    </w:p>
    <w:p>
      <w:pPr>
        <w:pStyle w:val="Ttulo1"/>
      </w:pPr>
      <w:r>
        <w:rPr>
          <w:rFonts w:ascii="Times New Roman" w:hAnsi="Times New Roman"/>
          <w:b w:val="0"/>
          <w:i w:val="0"/>
        </w:rPr>
        <w:t>Cierre del estándar</w:t>
      </w:r>
    </w:p>
    <w:p>
      <w:r>
        <w:rPr>
          <w:rFonts w:ascii="Times New Roman" w:hAnsi="Times New Roman"/>
          <w:b w:val="0"/>
          <w:i w:val="0"/>
        </w:rPr>
        <w:t>EST-001 v0.3 queda definido como estándar normativo actualizado para reconstrucción V2. Su cumplimiento es obligatorio para promover componentes, emitir documentos, generar evidencias y preparar defensa.</w:t>
      </w:r>
    </w:p>
    <w:sectPr w:rsidR="009A5EC4" w:rsidSect="004E1B52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3B8B1" w14:textId="77777777" w:rsidR="005059A9" w:rsidRPr="00C1533E" w:rsidRDefault="005059A9">
      <w:pPr>
        <w:spacing w:after="0" w:line="240" w:lineRule="auto"/>
      </w:pPr>
      <w:r w:rsidRPr="00C1533E">
        <w:separator/>
      </w:r>
    </w:p>
  </w:endnote>
  <w:endnote w:type="continuationSeparator" w:id="0">
    <w:p w14:paraId="5EF4C7D2" w14:textId="77777777" w:rsidR="005059A9" w:rsidRPr="00C1533E" w:rsidRDefault="005059A9">
      <w:pPr>
        <w:spacing w:after="0" w:line="240" w:lineRule="auto"/>
      </w:pPr>
      <w:r w:rsidRPr="00C153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94647" w14:textId="1BDFB673" w:rsidR="00B41E80" w:rsidRPr="000B7B6A" w:rsidRDefault="00D301F1" w:rsidP="00D301F1">
    <w:pPr>
      <w:pStyle w:val="Piedepgina"/>
      <w:ind w:right="-518"/>
      <w:jc w:val="right"/>
      <w:rPr>
        <w:sz w:val="18"/>
      </w:rPr>
    </w:pPr>
    <w:r>
      <w:rPr>
        <w:sz w:val="18"/>
      </w:rPr>
      <w:t xml:space="preserve">       </w:t>
    </w:r>
    <w:r w:rsidR="000B7B6A" w:rsidRPr="000B7B6A">
      <w:rPr>
        <w:sz w:val="18"/>
      </w:rPr>
      <w:t>Proyecto de Título | Ingeniería de Ejecución en Informática | Versión 0.2</w:t>
    </w:r>
    <w:r>
      <w:rPr>
        <w:sz w:val="18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CCDAE" w14:textId="77777777" w:rsidR="005059A9" w:rsidRPr="00C1533E" w:rsidRDefault="005059A9">
      <w:pPr>
        <w:spacing w:after="0" w:line="240" w:lineRule="auto"/>
      </w:pPr>
      <w:r w:rsidRPr="00C1533E">
        <w:separator/>
      </w:r>
    </w:p>
  </w:footnote>
  <w:footnote w:type="continuationSeparator" w:id="0">
    <w:p w14:paraId="326E5C65" w14:textId="77777777" w:rsidR="005059A9" w:rsidRPr="00C1533E" w:rsidRDefault="005059A9">
      <w:pPr>
        <w:spacing w:after="0" w:line="240" w:lineRule="auto"/>
      </w:pPr>
      <w:r w:rsidRPr="00C153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C915E" w14:textId="0BA9568F" w:rsidR="00933EE7" w:rsidRDefault="007E1754" w:rsidP="007E1754">
    <w:pPr>
      <w:pStyle w:val="Encabezado"/>
    </w:pPr>
    <w:r>
      <w:rPr>
        <w:sz w:val="18"/>
      </w:rPr>
      <w:t>EST-001 — Estándar de Identificación, Nomenclatura, Versionado y Trazabilidad del Proyecto</w:t>
    </w:r>
    <w:r>
      <w:t xml:space="preserve"> </w:t>
    </w:r>
    <w:r w:rsidR="005451D7">
      <w:t xml:space="preserve">                              </w:t>
    </w:r>
    <w:sdt>
      <w:sdtPr>
        <w:id w:val="709225369"/>
        <w:docPartObj>
          <w:docPartGallery w:val="Page Numbers (Top of Page)"/>
          <w:docPartUnique/>
        </w:docPartObj>
      </w:sdtPr>
      <w:sdtEndPr/>
      <w:sdtContent>
        <w:r w:rsidR="00933EE7">
          <w:fldChar w:fldCharType="begin"/>
        </w:r>
        <w:r w:rsidR="00933EE7">
          <w:instrText>PAGE   \* MERGEFORMAT</w:instrText>
        </w:r>
        <w:r w:rsidR="00933EE7">
          <w:fldChar w:fldCharType="separate"/>
        </w:r>
        <w:r w:rsidR="00933EE7">
          <w:rPr>
            <w:lang w:val="es-ES"/>
          </w:rPr>
          <w:t>2</w:t>
        </w:r>
        <w:r w:rsidR="00933EE7">
          <w:fldChar w:fldCharType="end"/>
        </w:r>
      </w:sdtContent>
    </w:sdt>
  </w:p>
  <w:p w14:paraId="7FD2D59E" w14:textId="64E8D33C" w:rsidR="00B41E80" w:rsidRPr="00C1533E" w:rsidRDefault="00B41E80" w:rsidP="000927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E6EE8"/>
    <w:multiLevelType w:val="multilevel"/>
    <w:tmpl w:val="FEC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00A7B"/>
    <w:multiLevelType w:val="multilevel"/>
    <w:tmpl w:val="03AC2D78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4492E51"/>
    <w:multiLevelType w:val="hybridMultilevel"/>
    <w:tmpl w:val="1960CBFC"/>
    <w:lvl w:ilvl="0" w:tplc="2F82DD6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834318">
    <w:abstractNumId w:val="8"/>
  </w:num>
  <w:num w:numId="2" w16cid:durableId="661003534">
    <w:abstractNumId w:val="6"/>
  </w:num>
  <w:num w:numId="3" w16cid:durableId="1851487699">
    <w:abstractNumId w:val="5"/>
  </w:num>
  <w:num w:numId="4" w16cid:durableId="821625471">
    <w:abstractNumId w:val="4"/>
  </w:num>
  <w:num w:numId="5" w16cid:durableId="585849400">
    <w:abstractNumId w:val="7"/>
  </w:num>
  <w:num w:numId="6" w16cid:durableId="334960600">
    <w:abstractNumId w:val="3"/>
  </w:num>
  <w:num w:numId="7" w16cid:durableId="1810442495">
    <w:abstractNumId w:val="2"/>
  </w:num>
  <w:num w:numId="8" w16cid:durableId="1631479077">
    <w:abstractNumId w:val="1"/>
  </w:num>
  <w:num w:numId="9" w16cid:durableId="164134301">
    <w:abstractNumId w:val="0"/>
  </w:num>
  <w:num w:numId="10" w16cid:durableId="560216991">
    <w:abstractNumId w:val="10"/>
  </w:num>
  <w:num w:numId="11" w16cid:durableId="718089312">
    <w:abstractNumId w:val="11"/>
  </w:num>
  <w:num w:numId="12" w16cid:durableId="1481193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D8F"/>
    <w:rsid w:val="00034616"/>
    <w:rsid w:val="0006063C"/>
    <w:rsid w:val="00065A56"/>
    <w:rsid w:val="0007187A"/>
    <w:rsid w:val="00092716"/>
    <w:rsid w:val="00096C8E"/>
    <w:rsid w:val="000B7B6A"/>
    <w:rsid w:val="000E18E6"/>
    <w:rsid w:val="000F04D7"/>
    <w:rsid w:val="00123159"/>
    <w:rsid w:val="00134C70"/>
    <w:rsid w:val="001400F7"/>
    <w:rsid w:val="0015074B"/>
    <w:rsid w:val="001847FC"/>
    <w:rsid w:val="0018791E"/>
    <w:rsid w:val="00193CFB"/>
    <w:rsid w:val="001A00F3"/>
    <w:rsid w:val="001A1E2B"/>
    <w:rsid w:val="001A36E9"/>
    <w:rsid w:val="001B1698"/>
    <w:rsid w:val="001B6A64"/>
    <w:rsid w:val="001C17BA"/>
    <w:rsid w:val="001D0896"/>
    <w:rsid w:val="001D2F39"/>
    <w:rsid w:val="00207B26"/>
    <w:rsid w:val="002302E9"/>
    <w:rsid w:val="00230B97"/>
    <w:rsid w:val="002447A7"/>
    <w:rsid w:val="002467D0"/>
    <w:rsid w:val="00266B45"/>
    <w:rsid w:val="0029639D"/>
    <w:rsid w:val="002A40FF"/>
    <w:rsid w:val="002D4129"/>
    <w:rsid w:val="002F6AA2"/>
    <w:rsid w:val="0031089F"/>
    <w:rsid w:val="0031559A"/>
    <w:rsid w:val="00326F90"/>
    <w:rsid w:val="003410BF"/>
    <w:rsid w:val="00380D0D"/>
    <w:rsid w:val="00380E27"/>
    <w:rsid w:val="003C28A2"/>
    <w:rsid w:val="003C55E7"/>
    <w:rsid w:val="003C5D8A"/>
    <w:rsid w:val="00406057"/>
    <w:rsid w:val="0042295A"/>
    <w:rsid w:val="00440AA1"/>
    <w:rsid w:val="00471B2B"/>
    <w:rsid w:val="00494A67"/>
    <w:rsid w:val="004A3809"/>
    <w:rsid w:val="004B0161"/>
    <w:rsid w:val="004C0E8B"/>
    <w:rsid w:val="004E1B52"/>
    <w:rsid w:val="004F472D"/>
    <w:rsid w:val="004F7AA7"/>
    <w:rsid w:val="005059A9"/>
    <w:rsid w:val="005451D7"/>
    <w:rsid w:val="0055462B"/>
    <w:rsid w:val="00556B2D"/>
    <w:rsid w:val="005613A4"/>
    <w:rsid w:val="005930AA"/>
    <w:rsid w:val="005A60A7"/>
    <w:rsid w:val="005B6D5C"/>
    <w:rsid w:val="005B7CA7"/>
    <w:rsid w:val="005C1D19"/>
    <w:rsid w:val="005F2331"/>
    <w:rsid w:val="006746B7"/>
    <w:rsid w:val="00675D4B"/>
    <w:rsid w:val="00680995"/>
    <w:rsid w:val="006873EA"/>
    <w:rsid w:val="006A1998"/>
    <w:rsid w:val="006A61C2"/>
    <w:rsid w:val="006D1FC2"/>
    <w:rsid w:val="006D79B5"/>
    <w:rsid w:val="006E0EA5"/>
    <w:rsid w:val="007004AE"/>
    <w:rsid w:val="007171D8"/>
    <w:rsid w:val="00723FCB"/>
    <w:rsid w:val="00724CD9"/>
    <w:rsid w:val="007309D9"/>
    <w:rsid w:val="007939E3"/>
    <w:rsid w:val="00794631"/>
    <w:rsid w:val="007A2F65"/>
    <w:rsid w:val="007B3A11"/>
    <w:rsid w:val="007C21DC"/>
    <w:rsid w:val="007E1754"/>
    <w:rsid w:val="0081128B"/>
    <w:rsid w:val="008300D3"/>
    <w:rsid w:val="00836412"/>
    <w:rsid w:val="008461E6"/>
    <w:rsid w:val="00870916"/>
    <w:rsid w:val="008B0C0C"/>
    <w:rsid w:val="008C4B9A"/>
    <w:rsid w:val="008D3A6B"/>
    <w:rsid w:val="0091249A"/>
    <w:rsid w:val="009214F5"/>
    <w:rsid w:val="009262F7"/>
    <w:rsid w:val="00933EE7"/>
    <w:rsid w:val="00951CF9"/>
    <w:rsid w:val="00982906"/>
    <w:rsid w:val="00994275"/>
    <w:rsid w:val="009A3FC0"/>
    <w:rsid w:val="009A5EC4"/>
    <w:rsid w:val="009E58A9"/>
    <w:rsid w:val="00A01A5E"/>
    <w:rsid w:val="00A06AD7"/>
    <w:rsid w:val="00A1008A"/>
    <w:rsid w:val="00A56998"/>
    <w:rsid w:val="00A6385F"/>
    <w:rsid w:val="00A66046"/>
    <w:rsid w:val="00A7543E"/>
    <w:rsid w:val="00A9003F"/>
    <w:rsid w:val="00AA055F"/>
    <w:rsid w:val="00AA1D8D"/>
    <w:rsid w:val="00AC368B"/>
    <w:rsid w:val="00B100B8"/>
    <w:rsid w:val="00B103D8"/>
    <w:rsid w:val="00B1334F"/>
    <w:rsid w:val="00B41E80"/>
    <w:rsid w:val="00B430CE"/>
    <w:rsid w:val="00B47730"/>
    <w:rsid w:val="00B6655B"/>
    <w:rsid w:val="00B71879"/>
    <w:rsid w:val="00B754AA"/>
    <w:rsid w:val="00B85905"/>
    <w:rsid w:val="00B94490"/>
    <w:rsid w:val="00BB088D"/>
    <w:rsid w:val="00BB7241"/>
    <w:rsid w:val="00BC4220"/>
    <w:rsid w:val="00BD2CE2"/>
    <w:rsid w:val="00BD7AA5"/>
    <w:rsid w:val="00BE0742"/>
    <w:rsid w:val="00BE1FFF"/>
    <w:rsid w:val="00BE47E1"/>
    <w:rsid w:val="00C10A06"/>
    <w:rsid w:val="00C10CCA"/>
    <w:rsid w:val="00C14E89"/>
    <w:rsid w:val="00C1533E"/>
    <w:rsid w:val="00C612B9"/>
    <w:rsid w:val="00C64EF0"/>
    <w:rsid w:val="00C83730"/>
    <w:rsid w:val="00C92F45"/>
    <w:rsid w:val="00CA518A"/>
    <w:rsid w:val="00CB0664"/>
    <w:rsid w:val="00CB6EFE"/>
    <w:rsid w:val="00CC16EB"/>
    <w:rsid w:val="00CE7FCB"/>
    <w:rsid w:val="00D0717A"/>
    <w:rsid w:val="00D301F1"/>
    <w:rsid w:val="00D32625"/>
    <w:rsid w:val="00D52843"/>
    <w:rsid w:val="00D52C40"/>
    <w:rsid w:val="00D60330"/>
    <w:rsid w:val="00D6457C"/>
    <w:rsid w:val="00D66319"/>
    <w:rsid w:val="00D8591E"/>
    <w:rsid w:val="00D85ED1"/>
    <w:rsid w:val="00DA1075"/>
    <w:rsid w:val="00DB2937"/>
    <w:rsid w:val="00E3659F"/>
    <w:rsid w:val="00E42432"/>
    <w:rsid w:val="00E530C1"/>
    <w:rsid w:val="00EB2009"/>
    <w:rsid w:val="00EB678B"/>
    <w:rsid w:val="00EC14C3"/>
    <w:rsid w:val="00EC3D99"/>
    <w:rsid w:val="00EC7FF3"/>
    <w:rsid w:val="00EF78E4"/>
    <w:rsid w:val="00F05492"/>
    <w:rsid w:val="00F1233C"/>
    <w:rsid w:val="00F3778C"/>
    <w:rsid w:val="00F417FA"/>
    <w:rsid w:val="00F4628B"/>
    <w:rsid w:val="00F7230D"/>
    <w:rsid w:val="00FC693F"/>
    <w:rsid w:val="00FD7010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B72196D8-B2A7-4AF2-BE77-8FD2A26A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4AA"/>
    <w:pPr>
      <w:spacing w:line="276" w:lineRule="auto" w:after="120"/>
      <w:jc w:val="both"/>
    </w:pPr>
    <w:rPr>
      <w:rFonts w:ascii="Times New Roman" w:eastAsia="Times New Roman" w:hAnsi="Times New Roman"/>
      <w:sz w:val="22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933EE7"/>
    <w:pPr>
      <w:keepNext/>
      <w:keepLines/>
      <w:numPr>
        <w:numId w:val="10"/>
      </w:numPr>
      <w:spacing w:before="320" w:after="160"/>
      <w:ind w:left="0" w:firstLine="0"/>
      <w:outlineLvl w:val="0"/>
    </w:pPr>
    <w:rPr>
      <w:rFonts w:eastAsiaTheme="majorEastAsia" w:cstheme="majorBidi" w:ascii="Times New Roman" w:hAnsi="Times New Roman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61C2"/>
    <w:pPr>
      <w:keepNext/>
      <w:keepLines/>
      <w:numPr>
        <w:ilvl w:val="1"/>
        <w:numId w:val="10"/>
      </w:numPr>
      <w:spacing w:before="240" w:after="120"/>
      <w:ind w:left="0" w:firstLine="0"/>
      <w:outlineLvl w:val="1"/>
    </w:pPr>
    <w:rPr>
      <w:rFonts w:eastAsiaTheme="majorEastAsia" w:cstheme="majorBidi" w:ascii="Times New Roman" w:hAnsi="Times New Roman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33EE7"/>
    <w:rPr>
      <w:rFonts w:ascii="Times New Roman" w:eastAsiaTheme="majorEastAsia" w:hAnsi="Times New Roman" w:cstheme="majorBidi"/>
      <w:b/>
      <w:bCs/>
      <w:color w:val="000000"/>
      <w:sz w:val="28"/>
      <w:szCs w:val="28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6A61C2"/>
    <w:rPr>
      <w:rFonts w:ascii="Times New Roman" w:eastAsiaTheme="majorEastAsia" w:hAnsi="Times New Roman" w:cstheme="majorBidi"/>
      <w:b/>
      <w:bCs/>
      <w:color w:val="000000"/>
      <w:sz w:val="24"/>
      <w:szCs w:val="26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6">
    <w:name w:val="Grid Table 4 Accent 6"/>
    <w:basedOn w:val="Tablanormal"/>
    <w:uiPriority w:val="49"/>
    <w:rsid w:val="001D0896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1D08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0896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1D0896"/>
    <w:rPr>
      <w:color w:val="0000FF" w:themeColor="hyperlink"/>
      <w:u w:val="single"/>
    </w:rPr>
  </w:style>
  <w:style w:type="table" w:styleId="Tabladecuadrcula4">
    <w:name w:val="Grid Table 4"/>
    <w:basedOn w:val="Tablanormal"/>
    <w:uiPriority w:val="49"/>
    <w:rsid w:val="000718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EstiloTabla">
    <w:name w:val="EstiloTabla"/>
    <w:basedOn w:val="Normal"/>
    <w:link w:val="EstiloTablaCar"/>
    <w:qFormat/>
    <w:rsid w:val="002F6AA2"/>
    <w:rPr>
      <w:b/>
      <w:bCs/>
    </w:rPr>
  </w:style>
  <w:style w:type="character" w:customStyle="1" w:styleId="EstiloTablaCar">
    <w:name w:val="EstiloTabla Car"/>
    <w:basedOn w:val="Fuentedeprrafopredeter"/>
    <w:link w:val="EstiloTabla"/>
    <w:rsid w:val="002F6AA2"/>
    <w:rPr>
      <w:rFonts w:ascii="Times New Roman" w:eastAsia="Times New Roman" w:hAnsi="Times New Roman"/>
      <w:b/>
      <w:bCs/>
      <w:lang w:val="es-CL"/>
    </w:rPr>
  </w:style>
  <w:style w:type="paragraph" w:customStyle="1" w:styleId="EstiloFigura">
    <w:name w:val="EstiloFigura"/>
    <w:basedOn w:val="Normal"/>
    <w:link w:val="EstiloFiguraCar"/>
    <w:qFormat/>
    <w:rsid w:val="00B754AA"/>
    <w:pPr>
      <w:spacing w:after="120"/>
    </w:pPr>
    <w:rPr>
      <w:b/>
    </w:rPr>
  </w:style>
  <w:style w:type="character" w:customStyle="1" w:styleId="EstiloFiguraCar">
    <w:name w:val="EstiloFigura Car"/>
    <w:basedOn w:val="Fuentedeprrafopredeter"/>
    <w:link w:val="EstiloFigura"/>
    <w:rsid w:val="00B754AA"/>
    <w:rPr>
      <w:rFonts w:ascii="Times New Roman" w:eastAsia="Times New Roman" w:hAnsi="Times New Roman"/>
      <w:b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22</Pages>
  <Words>3926</Words>
  <Characters>21598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EST-001 — Estándar de Identificación, Nomenclatura, Versionado y Trazabilidad del Proyecto</dc:title>
  <dc:subject>Alineación documental V2 del Proyecto de Título</dc:subject>
  <dc:creator>Bryan Soto Fariña</dc:creator>
  <cp:keywords>STD-001, trazabilidad, nomenclatura, gobierno, proyecto de título</cp:keywords>
  <dc:description>Documento generado como versión controlada V2; versiones previas se conservan como histórico.</dc:description>
  <cp:lastModifiedBy>Bryan Soto Fariña</cp:lastModifiedBy>
  <cp:revision>131</cp:revision>
  <dcterms:created xsi:type="dcterms:W3CDTF">2013-12-23T23:15:00Z</dcterms:created>
  <dcterms:modified xsi:type="dcterms:W3CDTF">2026-07-08T00:11:00Z</dcterms:modified>
  <cp:category/>
</cp:coreProperties>
</file>