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1285875</wp:posOffset>
            </wp:positionH>
            <wp:positionV relativeFrom="paragraph">
              <wp:posOffset>0</wp:posOffset>
            </wp:positionV>
            <wp:extent cx="3367088" cy="3232817"/>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67088" cy="3232817"/>
                    </a:xfrm>
                    <a:prstGeom prst="rect"/>
                    <a:ln/>
                  </pic:spPr>
                </pic:pic>
              </a:graphicData>
            </a:graphic>
          </wp:anchor>
        </w:drawing>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tl w:val="0"/>
        </w:rPr>
      </w:r>
    </w:p>
    <w:p w:rsidR="00000000" w:rsidDel="00000000" w:rsidP="00000000" w:rsidRDefault="00000000" w:rsidRPr="00000000" w14:paraId="0000000A">
      <w:pPr>
        <w:spacing w:after="80" w:lineRule="auto"/>
        <w:jc w:val="center"/>
        <w:rPr>
          <w:b w:val="1"/>
          <w:bCs w:val="1"/>
          <w:sz w:val="48"/>
          <w:szCs w:val="48"/>
        </w:rPr>
      </w:pPr>
      <w:r w:rsidDel="00000000" w:rsidR="00000000" w:rsidRPr="00000000">
        <w:rPr>
          <w:rtl w:val="0"/>
        </w:rPr>
      </w:r>
    </w:p>
    <w:p w:rsidR="00000000" w:rsidDel="00000000" w:rsidP="00000000" w:rsidRDefault="00000000" w:rsidRPr="00000000" w14:paraId="0000000B">
      <w:pPr>
        <w:spacing w:after="80" w:lineRule="auto"/>
        <w:jc w:val="center"/>
        <w:rPr>
          <w:b w:val="1"/>
          <w:bCs w:val="1"/>
          <w:sz w:val="48"/>
          <w:szCs w:val="48"/>
        </w:rPr>
      </w:pPr>
      <w:r w:rsidDel="00000000" w:rsidR="00000000" w:rsidRPr="00000000">
        <w:rPr>
          <w:rtl w:val="0"/>
        </w:rPr>
      </w:r>
    </w:p>
    <w:p w:rsidR="00000000" w:rsidDel="00000000" w:rsidP="00000000" w:rsidRDefault="00000000" w:rsidRPr="00000000" w14:paraId="0000000C">
      <w:pPr>
        <w:spacing w:after="80" w:lineRule="auto"/>
        <w:jc w:val="center"/>
        <w:rPr>
          <w:b w:val="1"/>
          <w:bCs w:val="1"/>
          <w:sz w:val="48"/>
          <w:szCs w:val="48"/>
        </w:rPr>
      </w:pPr>
      <w:r w:rsidDel="00000000" w:rsidR="00000000" w:rsidRPr="00000000">
        <w:rPr>
          <w:rtl w:val="0"/>
        </w:rPr>
      </w:r>
    </w:p>
    <w:p w:rsidR="00000000" w:rsidDel="00000000" w:rsidP="00000000" w:rsidRDefault="00000000" w:rsidRPr="00000000" w14:paraId="0000000D">
      <w:pPr>
        <w:spacing w:after="80" w:lineRule="auto"/>
        <w:jc w:val="center"/>
        <w:rPr>
          <w:b w:val="1"/>
          <w:bCs w:val="1"/>
          <w:sz w:val="48"/>
          <w:szCs w:val="48"/>
        </w:rPr>
      </w:pPr>
      <w:r w:rsidDel="00000000" w:rsidR="00000000" w:rsidRPr="00000000">
        <w:rPr>
          <w:rtl w:val="0"/>
        </w:rPr>
      </w:r>
    </w:p>
    <w:p w:rsidR="00000000" w:rsidDel="00000000" w:rsidP="00000000" w:rsidRDefault="00000000" w:rsidRPr="00000000" w14:paraId="0000000E">
      <w:pPr>
        <w:spacing w:after="80" w:lineRule="auto"/>
        <w:jc w:val="center"/>
        <w:rPr>
          <w:b w:val="1"/>
          <w:bCs w:val="1"/>
          <w:sz w:val="48"/>
          <w:szCs w:val="48"/>
        </w:rPr>
      </w:pPr>
      <w:r w:rsidDel="00000000" w:rsidR="00000000" w:rsidRPr="00000000">
        <w:rPr>
          <w:rtl w:val="0"/>
        </w:rPr>
      </w:r>
    </w:p>
    <w:p w:rsidR="00000000" w:rsidDel="00000000" w:rsidP="00000000" w:rsidRDefault="00000000" w:rsidRPr="00000000" w14:paraId="0000000F">
      <w:pPr>
        <w:spacing w:after="80" w:lineRule="auto"/>
        <w:jc w:val="center"/>
        <w:rPr/>
      </w:pPr>
      <w:r w:rsidDel="00000000" w:rsidR="00000000" w:rsidRPr="00000000">
        <w:rPr>
          <w:rFonts w:ascii="Times New Roman" w:cs="Times New Roman" w:eastAsia="Times New Roman" w:hAnsi="Times New Roman"/>
          <w:b w:val="1"/>
          <w:bCs w:val="1"/>
          <w:color w:val="000000"/>
          <w:sz w:val="48"/>
          <w:szCs w:val="48"/>
          <w:rtl w:val="0"/>
        </w:rPr>
        <w:t xml:space="preserve">Annual Report Analysis</w:t>
      </w:r>
      <w:r w:rsidDel="00000000" w:rsidR="00000000" w:rsidRPr="00000000">
        <w:rPr>
          <w:rtl w:val="0"/>
        </w:rPr>
      </w:r>
    </w:p>
    <w:p w:rsidR="00000000" w:rsidDel="00000000" w:rsidP="00000000" w:rsidRDefault="00000000" w:rsidRPr="00000000" w14:paraId="00000010">
      <w:pPr>
        <w:spacing w:after="60" w:lineRule="auto"/>
        <w:jc w:val="center"/>
        <w:rPr/>
      </w:pPr>
      <w:r w:rsidDel="00000000" w:rsidR="00000000" w:rsidRPr="00000000">
        <w:rPr>
          <w:rFonts w:ascii="Times New Roman" w:cs="Times New Roman" w:eastAsia="Times New Roman" w:hAnsi="Times New Roman"/>
          <w:i w:val="1"/>
          <w:iCs w:val="1"/>
          <w:color w:val="1a1a1a"/>
          <w:sz w:val="26"/>
          <w:szCs w:val="26"/>
          <w:rtl w:val="0"/>
        </w:rPr>
        <w:t xml:space="preserve">Five DSE-Listed Companies Across Different Industries</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spacing w:after="60" w:lineRule="auto"/>
        <w:jc w:val="center"/>
        <w:rPr/>
      </w:pPr>
      <w:r w:rsidDel="00000000" w:rsidR="00000000" w:rsidRPr="00000000">
        <w:rPr>
          <w:rFonts w:ascii="Times New Roman" w:cs="Times New Roman" w:eastAsia="Times New Roman" w:hAnsi="Times New Roman"/>
          <w:i w:val="1"/>
          <w:iCs w:val="1"/>
          <w:color w:val="1a1a1a"/>
          <w:sz w:val="22"/>
          <w:szCs w:val="22"/>
          <w:rtl w:val="0"/>
        </w:rPr>
        <w:t xml:space="preserve">Submitted by</w:t>
      </w:r>
      <w:r w:rsidDel="00000000" w:rsidR="00000000" w:rsidRPr="00000000">
        <w:rPr>
          <w:rtl w:val="0"/>
        </w:rPr>
      </w:r>
    </w:p>
    <w:p w:rsidR="00000000" w:rsidDel="00000000" w:rsidP="00000000" w:rsidRDefault="00000000" w:rsidRPr="00000000" w14:paraId="00000016">
      <w:pPr>
        <w:spacing w:after="60" w:lineRule="auto"/>
        <w:jc w:val="center"/>
        <w:rPr/>
      </w:pPr>
      <w:r w:rsidDel="00000000" w:rsidR="00000000" w:rsidRPr="00000000">
        <w:rPr>
          <w:rFonts w:ascii="Times New Roman" w:cs="Times New Roman" w:eastAsia="Times New Roman" w:hAnsi="Times New Roman"/>
          <w:b w:val="1"/>
          <w:bCs w:val="1"/>
          <w:color w:val="000000"/>
          <w:sz w:val="30"/>
          <w:szCs w:val="30"/>
          <w:rtl w:val="0"/>
        </w:rPr>
        <w:t xml:space="preserve">Md Rifat Rahman</w:t>
      </w:r>
      <w:r w:rsidDel="00000000" w:rsidR="00000000" w:rsidRPr="00000000">
        <w:rPr>
          <w:rtl w:val="0"/>
        </w:rPr>
      </w:r>
    </w:p>
    <w:p w:rsidR="00000000" w:rsidDel="00000000" w:rsidP="00000000" w:rsidRDefault="00000000" w:rsidRPr="00000000" w14:paraId="00000017">
      <w:pPr>
        <w:spacing w:after="60" w:lineRule="auto"/>
        <w:jc w:val="center"/>
        <w:rPr/>
      </w:pPr>
      <w:r w:rsidDel="00000000" w:rsidR="00000000" w:rsidRPr="00000000">
        <w:rPr>
          <w:rFonts w:ascii="Times New Roman" w:cs="Times New Roman" w:eastAsia="Times New Roman" w:hAnsi="Times New Roman"/>
          <w:color w:val="1a1a1a"/>
          <w:sz w:val="24"/>
          <w:szCs w:val="24"/>
          <w:rtl w:val="0"/>
        </w:rPr>
        <w:t xml:space="preserve">Student ID: 1000054675</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spacing w:after="6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BUS526 </w:t>
      </w:r>
      <w:r w:rsidDel="00000000" w:rsidR="00000000" w:rsidRPr="00000000">
        <w:rPr>
          <w:rFonts w:ascii="Times New Roman" w:cs="Times New Roman" w:eastAsia="Times New Roman" w:hAnsi="Times New Roman"/>
          <w:color w:val="1a1a1a"/>
          <w:sz w:val="24"/>
          <w:szCs w:val="24"/>
          <w:rtl w:val="0"/>
        </w:rPr>
        <w:t xml:space="preserve">Section: 2</w:t>
      </w:r>
      <w:r w:rsidDel="00000000" w:rsidR="00000000" w:rsidRPr="00000000">
        <w:rPr>
          <w:rtl w:val="0"/>
        </w:rPr>
      </w:r>
    </w:p>
    <w:p w:rsidR="00000000" w:rsidDel="00000000" w:rsidP="00000000" w:rsidRDefault="00000000" w:rsidRPr="00000000" w14:paraId="0000001A">
      <w:pPr>
        <w:spacing w:after="60" w:lineRule="auto"/>
        <w:jc w:val="center"/>
        <w:rPr/>
      </w:pPr>
      <w:r w:rsidDel="00000000" w:rsidR="00000000" w:rsidRPr="00000000">
        <w:rPr>
          <w:rFonts w:ascii="Times New Roman" w:cs="Times New Roman" w:eastAsia="Times New Roman" w:hAnsi="Times New Roman"/>
          <w:color w:val="1a1a1a"/>
          <w:sz w:val="24"/>
          <w:szCs w:val="24"/>
          <w:rtl w:val="0"/>
        </w:rPr>
        <w:t xml:space="preserve">Submission Date: 11th March 2026</w:t>
      </w:r>
      <w:r w:rsidDel="00000000" w:rsidR="00000000" w:rsidRPr="00000000">
        <w:rPr>
          <w:rtl w:val="0"/>
        </w:rPr>
      </w:r>
    </w:p>
    <w:p w:rsidR="00000000" w:rsidDel="00000000" w:rsidP="00000000" w:rsidRDefault="00000000" w:rsidRPr="00000000" w14:paraId="0000001B">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240" w:before="200" w:lineRule="auto"/>
        <w:rPr/>
      </w:pPr>
      <w:r w:rsidDel="00000000" w:rsidR="00000000" w:rsidRPr="00000000">
        <w:rPr>
          <w:rFonts w:ascii="Times New Roman" w:cs="Times New Roman" w:eastAsia="Times New Roman" w:hAnsi="Times New Roman"/>
          <w:b w:val="1"/>
          <w:bCs w:val="1"/>
          <w:color w:val="000000"/>
          <w:sz w:val="32"/>
          <w:szCs w:val="32"/>
          <w:rtl w:val="0"/>
        </w:rPr>
        <w:t xml:space="preserve">Table of Contents</w:t>
      </w:r>
      <w:r w:rsidDel="00000000" w:rsidR="00000000" w:rsidRPr="00000000">
        <w:rPr>
          <w:rtl w:val="0"/>
        </w:rPr>
      </w:r>
    </w:p>
    <w:p w:rsidR="00000000" w:rsidDel="00000000" w:rsidP="00000000" w:rsidRDefault="00000000" w:rsidRPr="00000000" w14:paraId="0000001D">
      <w:pPr>
        <w:tabs>
          <w:tab w:val="right" w:leader="none" w:pos="9360"/>
        </w:tabs>
        <w:spacing w:after="120" w:line="340" w:lineRule="auto"/>
        <w:rPr/>
      </w:pPr>
      <w:r w:rsidDel="00000000" w:rsidR="00000000" w:rsidRPr="00000000">
        <w:rPr>
          <w:rFonts w:ascii="Times New Roman" w:cs="Times New Roman" w:eastAsia="Times New Roman" w:hAnsi="Times New Roman"/>
          <w:color w:val="1a1a1a"/>
          <w:sz w:val="24"/>
          <w:szCs w:val="24"/>
          <w:rtl w:val="0"/>
        </w:rPr>
        <w:t xml:space="preserve">Introduction</w:t>
      </w:r>
      <w:r w:rsidDel="00000000" w:rsidR="00000000" w:rsidRPr="00000000">
        <w:rPr>
          <w:color w:val="1a1a1a"/>
          <w:rtl w:val="0"/>
        </w:rPr>
        <w:t xml:space="preserve"> </w:t>
      </w:r>
      <w:r w:rsidDel="00000000" w:rsidR="00000000" w:rsidRPr="00000000">
        <w:rPr>
          <w:rtl w:val="0"/>
        </w:rPr>
      </w:r>
    </w:p>
    <w:p w:rsidR="00000000" w:rsidDel="00000000" w:rsidP="00000000" w:rsidRDefault="00000000" w:rsidRPr="00000000" w14:paraId="0000001E">
      <w:pPr>
        <w:tabs>
          <w:tab w:val="right" w:leader="none" w:pos="9360"/>
        </w:tabs>
        <w:spacing w:after="120" w:line="340" w:lineRule="auto"/>
        <w:rPr/>
      </w:pPr>
      <w:r w:rsidDel="00000000" w:rsidR="00000000" w:rsidRPr="00000000">
        <w:rPr>
          <w:rFonts w:ascii="Times New Roman" w:cs="Times New Roman" w:eastAsia="Times New Roman" w:hAnsi="Times New Roman"/>
          <w:color w:val="1a1a1a"/>
          <w:sz w:val="24"/>
          <w:szCs w:val="24"/>
          <w:rtl w:val="0"/>
        </w:rPr>
        <w:t xml:space="preserve">1. Grameenphone Ltd</w:t>
      </w:r>
      <w:r w:rsidDel="00000000" w:rsidR="00000000" w:rsidRPr="00000000">
        <w:rPr>
          <w:rtl w:val="0"/>
        </w:rPr>
      </w:r>
    </w:p>
    <w:p w:rsidR="00000000" w:rsidDel="00000000" w:rsidP="00000000" w:rsidRDefault="00000000" w:rsidRPr="00000000" w14:paraId="0000001F">
      <w:pPr>
        <w:tabs>
          <w:tab w:val="right" w:leader="none" w:pos="9360"/>
        </w:tabs>
        <w:spacing w:after="120" w:line="340" w:lineRule="auto"/>
        <w:rPr/>
      </w:pPr>
      <w:r w:rsidDel="00000000" w:rsidR="00000000" w:rsidRPr="00000000">
        <w:rPr>
          <w:rFonts w:ascii="Times New Roman" w:cs="Times New Roman" w:eastAsia="Times New Roman" w:hAnsi="Times New Roman"/>
          <w:color w:val="1a1a1a"/>
          <w:sz w:val="24"/>
          <w:szCs w:val="24"/>
          <w:rtl w:val="0"/>
        </w:rPr>
        <w:t xml:space="preserve">2. Square Pharmaceuticals Ltd</w:t>
      </w:r>
      <w:r w:rsidDel="00000000" w:rsidR="00000000" w:rsidRPr="00000000">
        <w:rPr>
          <w:rtl w:val="0"/>
        </w:rPr>
      </w:r>
    </w:p>
    <w:p w:rsidR="00000000" w:rsidDel="00000000" w:rsidP="00000000" w:rsidRDefault="00000000" w:rsidRPr="00000000" w14:paraId="00000020">
      <w:pPr>
        <w:tabs>
          <w:tab w:val="right" w:leader="none" w:pos="9360"/>
        </w:tabs>
        <w:spacing w:after="120" w:line="340" w:lineRule="auto"/>
        <w:rPr/>
      </w:pPr>
      <w:r w:rsidDel="00000000" w:rsidR="00000000" w:rsidRPr="00000000">
        <w:rPr>
          <w:rFonts w:ascii="Times New Roman" w:cs="Times New Roman" w:eastAsia="Times New Roman" w:hAnsi="Times New Roman"/>
          <w:color w:val="1a1a1a"/>
          <w:sz w:val="24"/>
          <w:szCs w:val="24"/>
          <w:rtl w:val="0"/>
        </w:rPr>
        <w:t xml:space="preserve">3. BRAC Bank Limited</w:t>
      </w:r>
      <w:r w:rsidDel="00000000" w:rsidR="00000000" w:rsidRPr="00000000">
        <w:rPr>
          <w:rtl w:val="0"/>
        </w:rPr>
      </w:r>
    </w:p>
    <w:p w:rsidR="00000000" w:rsidDel="00000000" w:rsidP="00000000" w:rsidRDefault="00000000" w:rsidRPr="00000000" w14:paraId="00000021">
      <w:pPr>
        <w:tabs>
          <w:tab w:val="right" w:leader="none" w:pos="9360"/>
        </w:tabs>
        <w:spacing w:after="120" w:line="340" w:lineRule="auto"/>
        <w:rPr/>
      </w:pPr>
      <w:r w:rsidDel="00000000" w:rsidR="00000000" w:rsidRPr="00000000">
        <w:rPr>
          <w:rFonts w:ascii="Times New Roman" w:cs="Times New Roman" w:eastAsia="Times New Roman" w:hAnsi="Times New Roman"/>
          <w:color w:val="1a1a1a"/>
          <w:sz w:val="24"/>
          <w:szCs w:val="24"/>
          <w:rtl w:val="0"/>
        </w:rPr>
        <w:t xml:space="preserve">4. LafargeHolcim Bangladesh Ltd</w:t>
      </w:r>
      <w:r w:rsidDel="00000000" w:rsidR="00000000" w:rsidRPr="00000000">
        <w:rPr>
          <w:rtl w:val="0"/>
        </w:rPr>
      </w:r>
    </w:p>
    <w:p w:rsidR="00000000" w:rsidDel="00000000" w:rsidP="00000000" w:rsidRDefault="00000000" w:rsidRPr="00000000" w14:paraId="00000022">
      <w:pPr>
        <w:tabs>
          <w:tab w:val="right" w:leader="none" w:pos="9360"/>
        </w:tabs>
        <w:spacing w:after="120" w:line="340" w:lineRule="auto"/>
        <w:rPr/>
      </w:pPr>
      <w:r w:rsidDel="00000000" w:rsidR="00000000" w:rsidRPr="00000000">
        <w:rPr>
          <w:rFonts w:ascii="Times New Roman" w:cs="Times New Roman" w:eastAsia="Times New Roman" w:hAnsi="Times New Roman"/>
          <w:color w:val="1a1a1a"/>
          <w:sz w:val="24"/>
          <w:szCs w:val="24"/>
          <w:rtl w:val="0"/>
        </w:rPr>
        <w:t xml:space="preserve">5. BEXIMCO Ltd</w:t>
      </w:r>
      <w:r w:rsidDel="00000000" w:rsidR="00000000" w:rsidRPr="00000000">
        <w:rPr>
          <w:rtl w:val="0"/>
        </w:rPr>
      </w:r>
    </w:p>
    <w:p w:rsidR="00000000" w:rsidDel="00000000" w:rsidP="00000000" w:rsidRDefault="00000000" w:rsidRPr="00000000" w14:paraId="00000023">
      <w:pPr>
        <w:tabs>
          <w:tab w:val="right" w:leader="none" w:pos="9360"/>
        </w:tabs>
        <w:spacing w:after="120" w:line="340" w:lineRule="auto"/>
        <w:rPr/>
      </w:pPr>
      <w:r w:rsidDel="00000000" w:rsidR="00000000" w:rsidRPr="00000000">
        <w:rPr>
          <w:rFonts w:ascii="Times New Roman" w:cs="Times New Roman" w:eastAsia="Times New Roman" w:hAnsi="Times New Roman"/>
          <w:color w:val="1a1a1a"/>
          <w:sz w:val="24"/>
          <w:szCs w:val="24"/>
          <w:rtl w:val="0"/>
        </w:rPr>
        <w:t xml:space="preserve">6. Comparative Analysis and Conclusion</w:t>
      </w:r>
      <w:r w:rsidDel="00000000" w:rsidR="00000000" w:rsidRPr="00000000">
        <w:rPr>
          <w:rtl w:val="0"/>
        </w:rPr>
      </w:r>
    </w:p>
    <w:p w:rsidR="00000000" w:rsidDel="00000000" w:rsidP="00000000" w:rsidRDefault="00000000" w:rsidRPr="00000000" w14:paraId="00000024">
      <w:pPr>
        <w:rPr/>
        <w:sectPr>
          <w:type w:val="nextPage"/>
          <w:pgSz w:h="15840" w:w="12240"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12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Introduction</w:t>
      </w:r>
      <w:r w:rsidDel="00000000" w:rsidR="00000000" w:rsidRPr="00000000">
        <w:rPr>
          <w:rtl w:val="0"/>
        </w:rPr>
      </w:r>
    </w:p>
    <w:p w:rsidR="00000000" w:rsidDel="00000000" w:rsidP="00000000" w:rsidRDefault="00000000" w:rsidRPr="00000000" w14:paraId="00000026">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The objective of this assignment is to select and </w:t>
      </w:r>
      <w:r w:rsidDel="00000000" w:rsidR="00000000" w:rsidRPr="00000000">
        <w:rPr>
          <w:color w:val="1a1a1a"/>
          <w:rtl w:val="0"/>
        </w:rPr>
        <w:t xml:space="preserve">summarize</w:t>
      </w:r>
      <w:r w:rsidDel="00000000" w:rsidR="00000000" w:rsidRPr="00000000">
        <w:rPr>
          <w:rFonts w:ascii="Times New Roman" w:cs="Times New Roman" w:eastAsia="Times New Roman" w:hAnsi="Times New Roman"/>
          <w:color w:val="1a1a1a"/>
          <w:sz w:val="24"/>
          <w:szCs w:val="24"/>
          <w:rtl w:val="0"/>
        </w:rPr>
        <w:t xml:space="preserve"> the annual reports of five companies listed on the Dhaka Stock Exchange (DSE), each representing a distinct industry sector.</w:t>
      </w:r>
      <w:r w:rsidDel="00000000" w:rsidR="00000000" w:rsidRPr="00000000">
        <w:rPr>
          <w:rtl w:val="0"/>
        </w:rPr>
      </w:r>
    </w:p>
    <w:p w:rsidR="00000000" w:rsidDel="00000000" w:rsidP="00000000" w:rsidRDefault="00000000" w:rsidRPr="00000000" w14:paraId="00000027">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The five companies selected </w:t>
      </w:r>
      <w:r w:rsidDel="00000000" w:rsidR="00000000" w:rsidRPr="00000000">
        <w:rPr>
          <w:color w:val="1a1a1a"/>
          <w:rtl w:val="0"/>
        </w:rPr>
        <w:t xml:space="preserve">are (1)</w:t>
      </w:r>
      <w:r w:rsidDel="00000000" w:rsidR="00000000" w:rsidRPr="00000000">
        <w:rPr>
          <w:rFonts w:ascii="Times New Roman" w:cs="Times New Roman" w:eastAsia="Times New Roman" w:hAnsi="Times New Roman"/>
          <w:color w:val="1a1a1a"/>
          <w:sz w:val="24"/>
          <w:szCs w:val="24"/>
          <w:rtl w:val="0"/>
        </w:rPr>
        <w:t xml:space="preserve"> Grameenphone </w:t>
      </w:r>
      <w:r w:rsidDel="00000000" w:rsidR="00000000" w:rsidRPr="00000000">
        <w:rPr>
          <w:color w:val="1a1a1a"/>
          <w:rtl w:val="0"/>
        </w:rPr>
        <w:t xml:space="preserve">Ltd.</w:t>
      </w:r>
      <w:r w:rsidDel="00000000" w:rsidR="00000000" w:rsidRPr="00000000">
        <w:rPr>
          <w:rFonts w:ascii="Times New Roman" w:cs="Times New Roman" w:eastAsia="Times New Roman" w:hAnsi="Times New Roman"/>
          <w:color w:val="1a1a1a"/>
          <w:sz w:val="24"/>
          <w:szCs w:val="24"/>
          <w:rtl w:val="0"/>
        </w:rPr>
        <w:t xml:space="preserve"> (Telecommunications), (2) Square Pharmaceuticals </w:t>
      </w:r>
      <w:r w:rsidDel="00000000" w:rsidR="00000000" w:rsidRPr="00000000">
        <w:rPr>
          <w:color w:val="1a1a1a"/>
          <w:rtl w:val="0"/>
        </w:rPr>
        <w:t xml:space="preserve">Ltd.</w:t>
      </w:r>
      <w:r w:rsidDel="00000000" w:rsidR="00000000" w:rsidRPr="00000000">
        <w:rPr>
          <w:rFonts w:ascii="Times New Roman" w:cs="Times New Roman" w:eastAsia="Times New Roman" w:hAnsi="Times New Roman"/>
          <w:color w:val="1a1a1a"/>
          <w:sz w:val="24"/>
          <w:szCs w:val="24"/>
          <w:rtl w:val="0"/>
        </w:rPr>
        <w:t xml:space="preserve"> (Pharmaceuticals and Healthcare), (3) BRAC Bank Limited (Banking and Financial Services), (4) LafargeHolcim Bangladesh </w:t>
      </w:r>
      <w:r w:rsidDel="00000000" w:rsidR="00000000" w:rsidRPr="00000000">
        <w:rPr>
          <w:color w:val="1a1a1a"/>
          <w:rtl w:val="0"/>
        </w:rPr>
        <w:t xml:space="preserve">Ltd.</w:t>
      </w:r>
      <w:r w:rsidDel="00000000" w:rsidR="00000000" w:rsidRPr="00000000">
        <w:rPr>
          <w:rFonts w:ascii="Times New Roman" w:cs="Times New Roman" w:eastAsia="Times New Roman" w:hAnsi="Times New Roman"/>
          <w:color w:val="1a1a1a"/>
          <w:sz w:val="24"/>
          <w:szCs w:val="24"/>
          <w:rtl w:val="0"/>
        </w:rPr>
        <w:t xml:space="preserve"> (Building Materials</w:t>
      </w:r>
      <w:r w:rsidDel="00000000" w:rsidR="00000000" w:rsidRPr="00000000">
        <w:rPr>
          <w:color w:val="1a1a1a"/>
          <w:rtl w:val="0"/>
        </w:rPr>
        <w:t xml:space="preserve">-</w:t>
      </w:r>
      <w:r w:rsidDel="00000000" w:rsidR="00000000" w:rsidRPr="00000000">
        <w:rPr>
          <w:rFonts w:ascii="Times New Roman" w:cs="Times New Roman" w:eastAsia="Times New Roman" w:hAnsi="Times New Roman"/>
          <w:color w:val="1a1a1a"/>
          <w:sz w:val="24"/>
          <w:szCs w:val="24"/>
          <w:rtl w:val="0"/>
        </w:rPr>
        <w:t xml:space="preserve">Cement), and (5) BEXIMCO </w:t>
      </w:r>
      <w:r w:rsidDel="00000000" w:rsidR="00000000" w:rsidRPr="00000000">
        <w:rPr>
          <w:color w:val="1a1a1a"/>
          <w:rtl w:val="0"/>
        </w:rPr>
        <w:t xml:space="preserve">Ltd.</w:t>
      </w:r>
      <w:r w:rsidDel="00000000" w:rsidR="00000000" w:rsidRPr="00000000">
        <w:rPr>
          <w:rFonts w:ascii="Times New Roman" w:cs="Times New Roman" w:eastAsia="Times New Roman" w:hAnsi="Times New Roman"/>
          <w:color w:val="1a1a1a"/>
          <w:sz w:val="24"/>
          <w:szCs w:val="24"/>
          <w:rtl w:val="0"/>
        </w:rPr>
        <w:t xml:space="preserve"> (Diversified Conglomerate). This sectoral diversity enables a comparative understanding of financial performance, strategic priorities, and risk profiles across different segments of the Bangladeshi economy.</w:t>
      </w: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rtl w:val="0"/>
        </w:rPr>
      </w:r>
    </w:p>
    <w:p w:rsidR="00000000" w:rsidDel="00000000" w:rsidP="00000000" w:rsidRDefault="00000000" w:rsidRPr="00000000" w14:paraId="00000029">
      <w:pPr>
        <w:spacing w:after="12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 Grameenphone Ltd (GP)</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Fonts w:ascii="Times New Roman" w:cs="Times New Roman" w:eastAsia="Times New Roman" w:hAnsi="Times New Roman"/>
          <w:i w:val="1"/>
          <w:iCs w:val="1"/>
          <w:color w:val="555555"/>
          <w:sz w:val="20"/>
          <w:szCs w:val="20"/>
          <w:rtl w:val="0"/>
        </w:rPr>
        <w:t xml:space="preserve">GP | Telecommunications | DSE | FY 2023</w:t>
      </w:r>
      <w:r w:rsidDel="00000000" w:rsidR="00000000" w:rsidRPr="00000000">
        <w:rPr>
          <w:rtl w:val="0"/>
        </w:rPr>
      </w:r>
    </w:p>
    <w:p w:rsidR="00000000" w:rsidDel="00000000" w:rsidP="00000000" w:rsidRDefault="00000000" w:rsidRPr="00000000" w14:paraId="0000002B">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1.1 Company Overview</w:t>
      </w:r>
      <w:r w:rsidDel="00000000" w:rsidR="00000000" w:rsidRPr="00000000">
        <w:rPr>
          <w:rtl w:val="0"/>
        </w:rPr>
      </w:r>
    </w:p>
    <w:p w:rsidR="00000000" w:rsidDel="00000000" w:rsidP="00000000" w:rsidRDefault="00000000" w:rsidRPr="00000000" w14:paraId="0000002C">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Grameenphone Ltd is Bangladesh's largest mobile telecommunications operator and a subsidiary of Telenor ASA, Norway. Founded in 1996 and listed on the Dhaka Stock Exchange, GP serves over 85 million subscribers with approximately 45% national market share. The company provides voice, data, and digital services across all 64 districts of Bangladesh.</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tl w:val="0"/>
        </w:rPr>
      </w:r>
    </w:p>
    <w:p w:rsidR="00000000" w:rsidDel="00000000" w:rsidP="00000000" w:rsidRDefault="00000000" w:rsidRPr="00000000" w14:paraId="0000002E">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1.2 Key Financial Indicators</w:t>
      </w:r>
      <w:r w:rsidDel="00000000" w:rsidR="00000000" w:rsidRPr="00000000">
        <w:rPr>
          <w:rtl w:val="0"/>
        </w:rPr>
      </w:r>
    </w:p>
    <w:p w:rsidR="00000000" w:rsidDel="00000000" w:rsidP="00000000" w:rsidRDefault="00000000" w:rsidRPr="00000000" w14:paraId="0000002F">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The following table summarises key financial metrics from the company's annual report: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33333" w:val="clear"/>
            <w:tcMar>
              <w:top w:w="80.0" w:type="dxa"/>
              <w:left w:w="120.0" w:type="dxa"/>
              <w:bottom w:w="80.0" w:type="dxa"/>
              <w:right w:w="80.0" w:type="dxa"/>
            </w:tcMa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555555" w:val="clear"/>
            <w:tcMar>
              <w:top w:w="80.0" w:type="dxa"/>
              <w:left w:w="120.0" w:type="dxa"/>
              <w:bottom w:w="80.0" w:type="dxa"/>
              <w:right w:w="80.0" w:type="dxa"/>
            </w:tcMa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color w:val="ffffff"/>
                <w:sz w:val="20"/>
                <w:szCs w:val="20"/>
                <w:rtl w:val="0"/>
              </w:rPr>
              <w:t xml:space="preserve">Value (FY 2023)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1"/>
                <w:bCs w:val="1"/>
                <w:color w:val="000000"/>
                <w:sz w:val="20"/>
                <w:szCs w:val="20"/>
                <w:rtl w:val="0"/>
              </w:rPr>
              <w:t xml:space="preserve">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color w:val="1a1a1a"/>
                <w:sz w:val="20"/>
                <w:szCs w:val="20"/>
                <w:rtl w:val="0"/>
              </w:rPr>
              <w:t xml:space="preserve">BDT ~155.4 Billion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b w:val="1"/>
                <w:bCs w:val="1"/>
                <w:color w:val="000000"/>
                <w:sz w:val="20"/>
                <w:szCs w:val="20"/>
                <w:rtl w:val="0"/>
              </w:rPr>
              <w:t xml:space="preserve">Net Profit After 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color w:val="1a1a1a"/>
                <w:sz w:val="20"/>
                <w:szCs w:val="20"/>
                <w:rtl w:val="0"/>
              </w:rPr>
              <w:t xml:space="preserve">BDT ~33.2 Billion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1"/>
                <w:bCs w:val="1"/>
                <w:color w:val="000000"/>
                <w:sz w:val="20"/>
                <w:szCs w:val="20"/>
                <w:rtl w:val="0"/>
              </w:rPr>
              <w:t xml:space="preserve">EBITDA Margin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color w:val="1a1a1a"/>
                <w:sz w:val="20"/>
                <w:szCs w:val="20"/>
                <w:rtl w:val="0"/>
              </w:rPr>
              <w:t xml:space="preserve">~54%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1"/>
                <w:bCs w:val="1"/>
                <w:color w:val="000000"/>
                <w:sz w:val="20"/>
                <w:szCs w:val="20"/>
                <w:rtl w:val="0"/>
              </w:rPr>
              <w:t xml:space="preserve">Earnings Per Share (EPS)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color w:val="1a1a1a"/>
                <w:sz w:val="20"/>
                <w:szCs w:val="20"/>
                <w:rtl w:val="0"/>
              </w:rPr>
              <w:t xml:space="preserve">BDT 24.55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1"/>
                <w:bCs w:val="1"/>
                <w:color w:val="000000"/>
                <w:sz w:val="20"/>
                <w:szCs w:val="20"/>
                <w:rtl w:val="0"/>
              </w:rPr>
              <w:t xml:space="preserve">Dividend Per Share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color w:val="1a1a1a"/>
                <w:sz w:val="20"/>
                <w:szCs w:val="20"/>
                <w:rtl w:val="0"/>
              </w:rPr>
              <w:t xml:space="preserve">BDT 16.50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1"/>
                <w:bCs w:val="1"/>
                <w:color w:val="000000"/>
                <w:sz w:val="20"/>
                <w:szCs w:val="20"/>
                <w:rtl w:val="0"/>
              </w:rPr>
              <w:t xml:space="preserve">Total Assets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color w:val="1a1a1a"/>
                <w:sz w:val="20"/>
                <w:szCs w:val="20"/>
                <w:rtl w:val="0"/>
              </w:rPr>
              <w:t xml:space="preserve">BDT 220+ Billion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1"/>
                <w:bCs w:val="1"/>
                <w:color w:val="000000"/>
                <w:sz w:val="20"/>
                <w:szCs w:val="20"/>
                <w:rtl w:val="0"/>
              </w:rPr>
              <w:t xml:space="preserve">Subscriber 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color w:val="1a1a1a"/>
                <w:sz w:val="20"/>
                <w:szCs w:val="20"/>
                <w:rtl w:val="0"/>
              </w:rPr>
              <w:t xml:space="preserve">~85 Million+</w:t>
            </w:r>
            <w:r w:rsidDel="00000000" w:rsidR="00000000" w:rsidRPr="00000000">
              <w:rPr>
                <w:rtl w:val="0"/>
              </w:rPr>
            </w:r>
          </w:p>
        </w:tc>
      </w:tr>
    </w:tbl>
    <w:p w:rsidR="00000000" w:rsidDel="00000000" w:rsidP="00000000" w:rsidRDefault="00000000" w:rsidRPr="00000000" w14:paraId="00000040">
      <w:pPr>
        <w:spacing w:after="80" w:lineRule="auto"/>
        <w:rPr/>
      </w:pPr>
      <w:r w:rsidDel="00000000" w:rsidR="00000000" w:rsidRPr="00000000">
        <w:rPr>
          <w:rtl w:val="0"/>
        </w:rPr>
      </w:r>
    </w:p>
    <w:p w:rsidR="00000000" w:rsidDel="00000000" w:rsidP="00000000" w:rsidRDefault="00000000" w:rsidRPr="00000000" w14:paraId="00000041">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1.3 Operational Highlights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Continued 4G network expansion across all 64 districts of Bangladesh.</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Data and digital services now account for approximately 43% of total revenue.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Investment in MFS partnerships and fintech ecosystem development.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Highest EBITDA margin in the Bangladesh telecommunications sector.</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Spectrum acquisition and 5G readiness planning initiated.</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Consistent dividend payout maintained for shareholders.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CSR activities in health, education, and digital literacy.</w:t>
      </w:r>
      <w:r w:rsidDel="00000000" w:rsidR="00000000" w:rsidRPr="00000000">
        <w:rPr>
          <w:rtl w:val="0"/>
        </w:rPr>
      </w:r>
    </w:p>
    <w:p w:rsidR="00000000" w:rsidDel="00000000" w:rsidP="00000000" w:rsidRDefault="00000000" w:rsidRPr="00000000" w14:paraId="00000049">
      <w:pPr>
        <w:spacing w:after="80" w:lineRule="auto"/>
        <w:rPr/>
      </w:pPr>
      <w:r w:rsidDel="00000000" w:rsidR="00000000" w:rsidRPr="00000000">
        <w:rPr>
          <w:rtl w:val="0"/>
        </w:rPr>
      </w:r>
    </w:p>
    <w:p w:rsidR="00000000" w:rsidDel="00000000" w:rsidP="00000000" w:rsidRDefault="00000000" w:rsidRPr="00000000" w14:paraId="0000004A">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1.4 Strategic Direction</w:t>
      </w:r>
      <w:r w:rsidDel="00000000" w:rsidR="00000000" w:rsidRPr="00000000">
        <w:rPr>
          <w:rtl w:val="0"/>
        </w:rPr>
      </w:r>
    </w:p>
    <w:p w:rsidR="00000000" w:rsidDel="00000000" w:rsidP="00000000" w:rsidRDefault="00000000" w:rsidRPr="00000000" w14:paraId="0000004B">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GP's strategy focuses on transitioning from a traditional telecom operator to a digital services provider. Key priorities include deepening rural 4G coverage, preparing 5G infrastructure, and building a digital value-added services ecosystem. These efforts align with Bangladesh's Smart Bangladesh Vision 2041.</w:t>
      </w: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rtl w:val="0"/>
        </w:rPr>
      </w:r>
    </w:p>
    <w:p w:rsidR="00000000" w:rsidDel="00000000" w:rsidP="00000000" w:rsidRDefault="00000000" w:rsidRPr="00000000" w14:paraId="0000004D">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1.5 Key Risks and Challenges</w:t>
      </w:r>
      <w:r w:rsidDel="00000000" w:rsidR="00000000" w:rsidRPr="00000000">
        <w:rPr>
          <w:rtl w:val="0"/>
        </w:rPr>
      </w:r>
    </w:p>
    <w:p w:rsidR="00000000" w:rsidDel="00000000" w:rsidP="00000000" w:rsidRDefault="00000000" w:rsidRPr="00000000" w14:paraId="0000004E">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Key risks include regulatory pressure on tariff structures, intense competition from Robi and Banglalink, spectrum renewal costs, foreign exchange volatility affecting dividend repatriation to Telenor, and evolving cybersecurity threats.</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after="12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2. Square Pharmaceuticals Ltd</w:t>
      </w:r>
      <w:r w:rsidDel="00000000" w:rsidR="00000000" w:rsidRPr="00000000">
        <w:rPr>
          <w:rtl w:val="0"/>
        </w:rPr>
      </w:r>
    </w:p>
    <w:p w:rsidR="00000000" w:rsidDel="00000000" w:rsidP="00000000" w:rsidRDefault="00000000" w:rsidRPr="00000000" w14:paraId="00000051">
      <w:pPr>
        <w:spacing w:after="160" w:lineRule="auto"/>
        <w:rPr/>
      </w:pPr>
      <w:r w:rsidDel="00000000" w:rsidR="00000000" w:rsidRPr="00000000">
        <w:rPr>
          <w:rFonts w:ascii="Times New Roman" w:cs="Times New Roman" w:eastAsia="Times New Roman" w:hAnsi="Times New Roman"/>
          <w:i w:val="1"/>
          <w:iCs w:val="1"/>
          <w:color w:val="555555"/>
          <w:sz w:val="20"/>
          <w:szCs w:val="20"/>
          <w:rtl w:val="0"/>
        </w:rPr>
        <w:t xml:space="preserve">SQURPHARMA | Pharmaceuticals &amp; Healthcare | DSE | FY 2022–23</w:t>
      </w:r>
      <w:r w:rsidDel="00000000" w:rsidR="00000000" w:rsidRPr="00000000">
        <w:rPr>
          <w:rtl w:val="0"/>
        </w:rPr>
      </w:r>
    </w:p>
    <w:p w:rsidR="00000000" w:rsidDel="00000000" w:rsidP="00000000" w:rsidRDefault="00000000" w:rsidRPr="00000000" w14:paraId="00000052">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1.1 Company Overview</w:t>
      </w:r>
      <w:r w:rsidDel="00000000" w:rsidR="00000000" w:rsidRPr="00000000">
        <w:rPr>
          <w:rtl w:val="0"/>
        </w:rPr>
      </w:r>
    </w:p>
    <w:p w:rsidR="00000000" w:rsidDel="00000000" w:rsidP="00000000" w:rsidRDefault="00000000" w:rsidRPr="00000000" w14:paraId="00000053">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Square Pharmaceuticals Ltd is the largest pharmaceutical company in Bangladesh with approximately 18–20% domestic market share. Founded in 1958, the company manufactures tablets, capsules, injectables, liquid preparations, and veterinary medicines. Its products are exported to over 40 countries including regulated markets in the United States and Europe.</w:t>
      </w: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rtl w:val="0"/>
        </w:rPr>
      </w:r>
    </w:p>
    <w:p w:rsidR="00000000" w:rsidDel="00000000" w:rsidP="00000000" w:rsidRDefault="00000000" w:rsidRPr="00000000" w14:paraId="00000055">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1.2 Key Financial Indicators</w:t>
      </w:r>
      <w:r w:rsidDel="00000000" w:rsidR="00000000" w:rsidRPr="00000000">
        <w:rPr>
          <w:rtl w:val="0"/>
        </w:rPr>
      </w:r>
    </w:p>
    <w:p w:rsidR="00000000" w:rsidDel="00000000" w:rsidP="00000000" w:rsidRDefault="00000000" w:rsidRPr="00000000" w14:paraId="00000056">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The following table summarises key financial metrics from the company's annual report: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33333" w:val="clear"/>
            <w:tcMar>
              <w:top w:w="80.0" w:type="dxa"/>
              <w:left w:w="120.0" w:type="dxa"/>
              <w:bottom w:w="80.0" w:type="dxa"/>
              <w:right w:w="80.0" w:type="dxa"/>
            </w:tcMa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555555" w:val="clear"/>
            <w:tcMar>
              <w:top w:w="80.0" w:type="dxa"/>
              <w:left w:w="120.0" w:type="dxa"/>
              <w:bottom w:w="80.0" w:type="dxa"/>
              <w:right w:w="80.0" w:type="dxa"/>
            </w:tcMar>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color w:val="ffffff"/>
                <w:sz w:val="20"/>
                <w:szCs w:val="20"/>
                <w:rtl w:val="0"/>
              </w:rPr>
              <w:t xml:space="preserve">Value (FY 2022–23)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b w:val="1"/>
                <w:bCs w:val="1"/>
                <w:color w:val="000000"/>
                <w:sz w:val="20"/>
                <w:szCs w:val="20"/>
                <w:rtl w:val="0"/>
              </w:rPr>
              <w:t xml:space="preserve">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color w:val="1a1a1a"/>
                <w:sz w:val="20"/>
                <w:szCs w:val="20"/>
                <w:rtl w:val="0"/>
              </w:rPr>
              <w:t xml:space="preserve">BDT ~57+ Billion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1"/>
                <w:bCs w:val="1"/>
                <w:color w:val="000000"/>
                <w:sz w:val="20"/>
                <w:szCs w:val="20"/>
                <w:rtl w:val="0"/>
              </w:rPr>
              <w:t xml:space="preserve">Net Profit After 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color w:val="1a1a1a"/>
                <w:sz w:val="20"/>
                <w:szCs w:val="20"/>
                <w:rtl w:val="0"/>
              </w:rPr>
              <w:t xml:space="preserve">BDT ~8.5+ Billion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1"/>
                <w:bCs w:val="1"/>
                <w:color w:val="000000"/>
                <w:sz w:val="20"/>
                <w:szCs w:val="20"/>
                <w:rtl w:val="0"/>
              </w:rPr>
              <w:t xml:space="preserve">Earnings Per Share (EPS)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color w:val="1a1a1a"/>
                <w:sz w:val="20"/>
                <w:szCs w:val="20"/>
                <w:rtl w:val="0"/>
              </w:rPr>
              <w:t xml:space="preserve">BDT 15.50+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1"/>
                <w:bCs w:val="1"/>
                <w:color w:val="000000"/>
                <w:sz w:val="20"/>
                <w:szCs w:val="20"/>
                <w:rtl w:val="0"/>
              </w:rPr>
              <w:t xml:space="preserve">Dividend Per Share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color w:val="1a1a1a"/>
                <w:sz w:val="20"/>
                <w:szCs w:val="20"/>
                <w:rtl w:val="0"/>
              </w:rPr>
              <w:t xml:space="preserve">BDT 8.00+ (Cash &amp; Stock)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1"/>
                <w:bCs w:val="1"/>
                <w:color w:val="000000"/>
                <w:sz w:val="20"/>
                <w:szCs w:val="20"/>
                <w:rtl w:val="0"/>
              </w:rPr>
              <w:t xml:space="preserve">Return on Equity (ROE)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color w:val="1a1a1a"/>
                <w:sz w:val="20"/>
                <w:szCs w:val="20"/>
                <w:rtl w:val="0"/>
              </w:rPr>
              <w:t xml:space="preserve">~22%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1"/>
                <w:bCs w:val="1"/>
                <w:color w:val="000000"/>
                <w:sz w:val="20"/>
                <w:szCs w:val="20"/>
                <w:rtl w:val="0"/>
              </w:rPr>
              <w:t xml:space="preserve">Total Assets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color w:val="1a1a1a"/>
                <w:sz w:val="20"/>
                <w:szCs w:val="20"/>
                <w:rtl w:val="0"/>
              </w:rPr>
              <w:t xml:space="preserve">BDT ~65+ Billion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1"/>
                <w:bCs w:val="1"/>
                <w:color w:val="000000"/>
                <w:sz w:val="20"/>
                <w:szCs w:val="20"/>
                <w:rtl w:val="0"/>
              </w:rPr>
              <w:t xml:space="preserve">Export Revenue Share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color w:val="1a1a1a"/>
                <w:sz w:val="20"/>
                <w:szCs w:val="20"/>
                <w:rtl w:val="0"/>
              </w:rPr>
              <w:t xml:space="preserve">~10% of Total Revenue</w:t>
            </w:r>
            <w:r w:rsidDel="00000000" w:rsidR="00000000" w:rsidRPr="00000000">
              <w:rPr>
                <w:rtl w:val="0"/>
              </w:rPr>
            </w:r>
          </w:p>
        </w:tc>
      </w:tr>
    </w:tbl>
    <w:p w:rsidR="00000000" w:rsidDel="00000000" w:rsidP="00000000" w:rsidRDefault="00000000" w:rsidRPr="00000000" w14:paraId="00000067">
      <w:pPr>
        <w:spacing w:after="80" w:lineRule="auto"/>
        <w:rPr/>
      </w:pPr>
      <w:r w:rsidDel="00000000" w:rsidR="00000000" w:rsidRPr="00000000">
        <w:rPr>
          <w:rtl w:val="0"/>
        </w:rPr>
      </w:r>
    </w:p>
    <w:p w:rsidR="00000000" w:rsidDel="00000000" w:rsidP="00000000" w:rsidRDefault="00000000" w:rsidRPr="00000000" w14:paraId="00000068">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1.3 Operational Highlights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Consistent domestic market leadership with uninterrupted revenue and profit growth.</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Export portfolio expanded to 40+ countries including WHO pre-qualified regulated markets.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Major capital expenditure on WHO-GMP compliant manufacturing facilities.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New biosimilars and novel molecule formulations launched domestically and for export.</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Robust R&amp;D pipeline with rising investment in new drug development.</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Unbroken dividend payout history maintaining status as a preferred income stock.</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Backward integration into API manufacturing underway to reduce import dependency.</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tl w:val="0"/>
        </w:rPr>
      </w:r>
    </w:p>
    <w:p w:rsidR="00000000" w:rsidDel="00000000" w:rsidP="00000000" w:rsidRDefault="00000000" w:rsidRPr="00000000" w14:paraId="00000071">
      <w:pPr>
        <w:spacing w:after="8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1.4 Strategic Direction</w:t>
      </w:r>
      <w:r w:rsidDel="00000000" w:rsidR="00000000" w:rsidRPr="00000000">
        <w:rPr>
          <w:rtl w:val="0"/>
        </w:rPr>
      </w:r>
    </w:p>
    <w:p w:rsidR="00000000" w:rsidDel="00000000" w:rsidP="00000000" w:rsidRDefault="00000000" w:rsidRPr="00000000" w14:paraId="00000073">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The company's strategic agenda is to expand into high-compliance regulated export markets (USA, UK, EU, Australia) while deepening domestic leadership in high-growth therapeutic segments such as oncology, cardiovascular, and diabetes. Backward integration into Active Pharmaceutical Ingredient (API) manufacturing is a key margin-improvement priority.</w:t>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rtl w:val="0"/>
        </w:rPr>
      </w:r>
    </w:p>
    <w:p w:rsidR="00000000" w:rsidDel="00000000" w:rsidP="00000000" w:rsidRDefault="00000000" w:rsidRPr="00000000" w14:paraId="00000075">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1.5 Key Risks and Challenges</w:t>
      </w:r>
      <w:r w:rsidDel="00000000" w:rsidR="00000000" w:rsidRPr="00000000">
        <w:rPr>
          <w:rtl w:val="0"/>
        </w:rPr>
      </w:r>
    </w:p>
    <w:p w:rsidR="00000000" w:rsidDel="00000000" w:rsidP="00000000" w:rsidRDefault="00000000" w:rsidRPr="00000000" w14:paraId="00000076">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Significant risks include the compliance burden of regulated export markets, raw material price volatility tied to the USD, intensifying generic competition domestically, potential pharmaceutical pricing policy interventions, and the impact of Taka depreciation on import costs.</w:t>
      </w: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spacing w:after="12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3. BRAC Bank Limited</w:t>
      </w:r>
      <w:r w:rsidDel="00000000" w:rsidR="00000000" w:rsidRPr="00000000">
        <w:rPr>
          <w:rtl w:val="0"/>
        </w:rPr>
      </w:r>
    </w:p>
    <w:p w:rsidR="00000000" w:rsidDel="00000000" w:rsidP="00000000" w:rsidRDefault="00000000" w:rsidRPr="00000000" w14:paraId="00000079">
      <w:pPr>
        <w:spacing w:after="160" w:lineRule="auto"/>
        <w:rPr/>
      </w:pPr>
      <w:r w:rsidDel="00000000" w:rsidR="00000000" w:rsidRPr="00000000">
        <w:rPr>
          <w:rFonts w:ascii="Times New Roman" w:cs="Times New Roman" w:eastAsia="Times New Roman" w:hAnsi="Times New Roman"/>
          <w:i w:val="1"/>
          <w:iCs w:val="1"/>
          <w:color w:val="555555"/>
          <w:sz w:val="20"/>
          <w:szCs w:val="20"/>
          <w:rtl w:val="0"/>
        </w:rPr>
        <w:t xml:space="preserve">BRACBANK | Banking &amp; Financial Services | DSE | FY 2023</w:t>
      </w:r>
      <w:r w:rsidDel="00000000" w:rsidR="00000000" w:rsidRPr="00000000">
        <w:rPr>
          <w:rtl w:val="0"/>
        </w:rPr>
      </w:r>
    </w:p>
    <w:p w:rsidR="00000000" w:rsidDel="00000000" w:rsidP="00000000" w:rsidRDefault="00000000" w:rsidRPr="00000000" w14:paraId="0000007A">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1.1 Company Overview</w:t>
      </w:r>
      <w:r w:rsidDel="00000000" w:rsidR="00000000" w:rsidRPr="00000000">
        <w:rPr>
          <w:rtl w:val="0"/>
        </w:rPr>
      </w:r>
    </w:p>
    <w:p w:rsidR="00000000" w:rsidDel="00000000" w:rsidP="00000000" w:rsidRDefault="00000000" w:rsidRPr="00000000" w14:paraId="0000007B">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BRAC Bank Limited is one of Bangladesh's leading private commercial banks, established in 2001 as a subsidiary of BRAC</w:t>
      </w:r>
      <w:r w:rsidDel="00000000" w:rsidR="00000000" w:rsidRPr="00000000">
        <w:rPr>
          <w:color w:val="1a1a1a"/>
          <w:rtl w:val="0"/>
        </w:rPr>
        <w:t xml:space="preserve">-</w:t>
      </w:r>
      <w:r w:rsidDel="00000000" w:rsidR="00000000" w:rsidRPr="00000000">
        <w:rPr>
          <w:rFonts w:ascii="Times New Roman" w:cs="Times New Roman" w:eastAsia="Times New Roman" w:hAnsi="Times New Roman"/>
          <w:color w:val="1a1a1a"/>
          <w:sz w:val="24"/>
          <w:szCs w:val="24"/>
          <w:rtl w:val="0"/>
        </w:rPr>
        <w:t xml:space="preserve">the world's largest non-governmental development organization. The bank has pioneered SME banking in Bangladesh and operates bKash, the country's largest Mobile Financial Service (MFS) platform with over 70 million registered users.</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rtl w:val="0"/>
        </w:rPr>
      </w:r>
    </w:p>
    <w:p w:rsidR="00000000" w:rsidDel="00000000" w:rsidP="00000000" w:rsidRDefault="00000000" w:rsidRPr="00000000" w14:paraId="0000007D">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1.2 Key Financial Indicators</w:t>
      </w:r>
      <w:r w:rsidDel="00000000" w:rsidR="00000000" w:rsidRPr="00000000">
        <w:rPr>
          <w:rtl w:val="0"/>
        </w:rPr>
      </w:r>
    </w:p>
    <w:p w:rsidR="00000000" w:rsidDel="00000000" w:rsidP="00000000" w:rsidRDefault="00000000" w:rsidRPr="00000000" w14:paraId="0000007E">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The following table summarises key financial metrics from the company's annual report: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33333" w:val="clear"/>
            <w:tcMar>
              <w:top w:w="80.0" w:type="dxa"/>
              <w:left w:w="120.0" w:type="dxa"/>
              <w:bottom w:w="80.0" w:type="dxa"/>
              <w:right w:w="80.0" w:type="dxa"/>
            </w:tcMa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555555" w:val="clear"/>
            <w:tcMar>
              <w:top w:w="80.0" w:type="dxa"/>
              <w:left w:w="120.0" w:type="dxa"/>
              <w:bottom w:w="80.0" w:type="dxa"/>
              <w:right w:w="80.0" w:type="dxa"/>
            </w:tcMa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color w:val="ffffff"/>
                <w:sz w:val="20"/>
                <w:szCs w:val="20"/>
                <w:rtl w:val="0"/>
              </w:rPr>
              <w:t xml:space="preserve">Value (FY 2023)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b w:val="1"/>
                <w:bCs w:val="1"/>
                <w:color w:val="000000"/>
                <w:sz w:val="20"/>
                <w:szCs w:val="20"/>
                <w:rtl w:val="0"/>
              </w:rPr>
              <w:t xml:space="preserve">Total Operating Income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color w:val="1a1a1a"/>
                <w:sz w:val="20"/>
                <w:szCs w:val="20"/>
                <w:rtl w:val="0"/>
              </w:rPr>
              <w:t xml:space="preserve">BDT ~25+ Billion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b w:val="1"/>
                <w:bCs w:val="1"/>
                <w:color w:val="000000"/>
                <w:sz w:val="20"/>
                <w:szCs w:val="20"/>
                <w:rtl w:val="0"/>
              </w:rPr>
              <w:t xml:space="preserve">Net Interest Income (NII)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color w:val="1a1a1a"/>
                <w:sz w:val="20"/>
                <w:szCs w:val="20"/>
                <w:rtl w:val="0"/>
              </w:rPr>
              <w:t xml:space="preserve">BDT ~18+ Billion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b w:val="1"/>
                <w:bCs w:val="1"/>
                <w:color w:val="000000"/>
                <w:sz w:val="20"/>
                <w:szCs w:val="20"/>
                <w:rtl w:val="0"/>
              </w:rPr>
              <w:t xml:space="preserve">Net Profit After 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color w:val="1a1a1a"/>
                <w:sz w:val="20"/>
                <w:szCs w:val="20"/>
                <w:rtl w:val="0"/>
              </w:rPr>
              <w:t xml:space="preserve">BDT ~6+ Billion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b w:val="1"/>
                <w:bCs w:val="1"/>
                <w:color w:val="000000"/>
                <w:sz w:val="20"/>
                <w:szCs w:val="20"/>
                <w:rtl w:val="0"/>
              </w:rPr>
              <w:t xml:space="preserve">Earnings Per Share (EPS)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color w:val="1a1a1a"/>
                <w:sz w:val="20"/>
                <w:szCs w:val="20"/>
                <w:rtl w:val="0"/>
              </w:rPr>
              <w:t xml:space="preserve">BDT ~5.50+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b w:val="1"/>
                <w:bCs w:val="1"/>
                <w:color w:val="000000"/>
                <w:sz w:val="20"/>
                <w:szCs w:val="20"/>
                <w:rtl w:val="0"/>
              </w:rPr>
              <w:t xml:space="preserve">NPL 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color w:val="1a1a1a"/>
                <w:sz w:val="20"/>
                <w:szCs w:val="20"/>
                <w:rtl w:val="0"/>
              </w:rPr>
              <w:t xml:space="preserve">~3.5%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b w:val="1"/>
                <w:bCs w:val="1"/>
                <w:color w:val="000000"/>
                <w:sz w:val="20"/>
                <w:szCs w:val="20"/>
                <w:rtl w:val="0"/>
              </w:rPr>
              <w:t xml:space="preserve">Capital Adequacy Ratio (CAR)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color w:val="1a1a1a"/>
                <w:sz w:val="20"/>
                <w:szCs w:val="20"/>
                <w:rtl w:val="0"/>
              </w:rPr>
              <w:t xml:space="preserve">~14%+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b w:val="1"/>
                <w:bCs w:val="1"/>
                <w:color w:val="000000"/>
                <w:sz w:val="20"/>
                <w:szCs w:val="20"/>
                <w:rtl w:val="0"/>
              </w:rPr>
              <w:t xml:space="preserve">Total Deposits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color w:val="1a1a1a"/>
                <w:sz w:val="20"/>
                <w:szCs w:val="20"/>
                <w:rtl w:val="0"/>
              </w:rPr>
              <w:t xml:space="preserve">BDT ~380+ Billion</w:t>
            </w:r>
            <w:r w:rsidDel="00000000" w:rsidR="00000000" w:rsidRPr="00000000">
              <w:rPr>
                <w:rtl w:val="0"/>
              </w:rPr>
            </w:r>
          </w:p>
        </w:tc>
      </w:tr>
    </w:tbl>
    <w:p w:rsidR="00000000" w:rsidDel="00000000" w:rsidP="00000000" w:rsidRDefault="00000000" w:rsidRPr="00000000" w14:paraId="0000008F">
      <w:pPr>
        <w:spacing w:after="80" w:lineRule="auto"/>
        <w:rPr/>
      </w:pPr>
      <w:r w:rsidDel="00000000" w:rsidR="00000000" w:rsidRPr="00000000">
        <w:rPr>
          <w:rtl w:val="0"/>
        </w:rPr>
      </w:r>
    </w:p>
    <w:p w:rsidR="00000000" w:rsidDel="00000000" w:rsidP="00000000" w:rsidRDefault="00000000" w:rsidRPr="00000000" w14:paraId="00000090">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1.3 Operational Highlights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SME lending constitutes over 40% of the total loan portfolio.</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bKash subsidiary surpassed 70 million registered users.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Significant growth in internet and mobile banking active users.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Agent banking network expanded into underserved rural districts.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Capital Adequacy Ratio maintained above Bangladesh Bank's statutory minimum.</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Green banking and climate-risk lending frameworks formally adopted.</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Internationally recognised for SME banking excellence and financial inclusion.</w:t>
      </w:r>
      <w:r w:rsidDel="00000000" w:rsidR="00000000" w:rsidRPr="00000000">
        <w:rPr>
          <w:rtl w:val="0"/>
        </w:rPr>
      </w:r>
    </w:p>
    <w:p w:rsidR="00000000" w:rsidDel="00000000" w:rsidP="00000000" w:rsidRDefault="00000000" w:rsidRPr="00000000" w14:paraId="00000098">
      <w:pPr>
        <w:spacing w:after="80" w:lineRule="auto"/>
        <w:rPr/>
      </w:pPr>
      <w:r w:rsidDel="00000000" w:rsidR="00000000" w:rsidRPr="00000000">
        <w:rPr>
          <w:rtl w:val="0"/>
        </w:rPr>
      </w:r>
    </w:p>
    <w:p w:rsidR="00000000" w:rsidDel="00000000" w:rsidP="00000000" w:rsidRDefault="00000000" w:rsidRPr="00000000" w14:paraId="00000099">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1.4 Strategic Direction</w:t>
      </w:r>
      <w:r w:rsidDel="00000000" w:rsidR="00000000" w:rsidRPr="00000000">
        <w:rPr>
          <w:rtl w:val="0"/>
        </w:rPr>
      </w:r>
    </w:p>
    <w:p w:rsidR="00000000" w:rsidDel="00000000" w:rsidP="00000000" w:rsidRDefault="00000000" w:rsidRPr="00000000" w14:paraId="0000009A">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BRAC Bank's strategy is built on three pillars: deepening SME penetration in under-banked areas, accelerating retail banking through digital channels, and leveraging bKash to converge banking and mobile financial services. ESG integration across lending portfolios is also a growing strategic priority.</w:t>
      </w:r>
      <w:r w:rsidDel="00000000" w:rsidR="00000000" w:rsidRPr="00000000">
        <w:rPr>
          <w:rtl w:val="0"/>
        </w:rPr>
      </w:r>
    </w:p>
    <w:p w:rsidR="00000000" w:rsidDel="00000000" w:rsidP="00000000" w:rsidRDefault="00000000" w:rsidRPr="00000000" w14:paraId="0000009B">
      <w:pPr>
        <w:spacing w:after="80" w:lineRule="auto"/>
        <w:rPr/>
      </w:pPr>
      <w:r w:rsidDel="00000000" w:rsidR="00000000" w:rsidRPr="00000000">
        <w:rPr>
          <w:rtl w:val="0"/>
        </w:rPr>
      </w:r>
    </w:p>
    <w:p w:rsidR="00000000" w:rsidDel="00000000" w:rsidP="00000000" w:rsidRDefault="00000000" w:rsidRPr="00000000" w14:paraId="0000009C">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1.5 Key Risks and Challenges</w:t>
      </w:r>
      <w:r w:rsidDel="00000000" w:rsidR="00000000" w:rsidRPr="00000000">
        <w:rPr>
          <w:rtl w:val="0"/>
        </w:rPr>
      </w:r>
    </w:p>
    <w:p w:rsidR="00000000" w:rsidDel="00000000" w:rsidP="00000000" w:rsidRDefault="00000000" w:rsidRPr="00000000" w14:paraId="0000009D">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Notable risks include rising NPLs in the SME portfolio due to inflationary pressure on small businesses, interest rate risk from Bangladesh Bank's policy tightening, foreign currency exposure in trade finance, cybersecurity risks from a large digital banking operation, and increasing regulatory compliance costs.</w:t>
      </w: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spacing w:after="12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4. LafargeHolcim Bangladesh Ltd</w:t>
      </w:r>
      <w:r w:rsidDel="00000000" w:rsidR="00000000" w:rsidRPr="00000000">
        <w:rPr>
          <w:rtl w:val="0"/>
        </w:rPr>
      </w:r>
    </w:p>
    <w:p w:rsidR="00000000" w:rsidDel="00000000" w:rsidP="00000000" w:rsidRDefault="00000000" w:rsidRPr="00000000" w14:paraId="000000A0">
      <w:pPr>
        <w:spacing w:after="160" w:lineRule="auto"/>
        <w:rPr/>
      </w:pPr>
      <w:r w:rsidDel="00000000" w:rsidR="00000000" w:rsidRPr="00000000">
        <w:rPr>
          <w:rFonts w:ascii="Times New Roman" w:cs="Times New Roman" w:eastAsia="Times New Roman" w:hAnsi="Times New Roman"/>
          <w:i w:val="1"/>
          <w:iCs w:val="1"/>
          <w:color w:val="555555"/>
          <w:sz w:val="20"/>
          <w:szCs w:val="20"/>
          <w:rtl w:val="0"/>
        </w:rPr>
        <w:t xml:space="preserve">LAFARGEHLCM | Building Materials</w:t>
      </w:r>
      <w:r w:rsidDel="00000000" w:rsidR="00000000" w:rsidRPr="00000000">
        <w:rPr>
          <w:i w:val="1"/>
          <w:iCs w:val="1"/>
          <w:color w:val="555555"/>
          <w:sz w:val="20"/>
          <w:szCs w:val="20"/>
          <w:rtl w:val="0"/>
        </w:rPr>
        <w:t xml:space="preserve">-</w:t>
      </w:r>
      <w:r w:rsidDel="00000000" w:rsidR="00000000" w:rsidRPr="00000000">
        <w:rPr>
          <w:rFonts w:ascii="Times New Roman" w:cs="Times New Roman" w:eastAsia="Times New Roman" w:hAnsi="Times New Roman"/>
          <w:i w:val="1"/>
          <w:iCs w:val="1"/>
          <w:color w:val="555555"/>
          <w:sz w:val="20"/>
          <w:szCs w:val="20"/>
          <w:rtl w:val="0"/>
        </w:rPr>
        <w:t xml:space="preserve">Cement | DSE | FY 2023</w:t>
      </w:r>
      <w:r w:rsidDel="00000000" w:rsidR="00000000" w:rsidRPr="00000000">
        <w:rPr>
          <w:rtl w:val="0"/>
        </w:rPr>
      </w:r>
    </w:p>
    <w:p w:rsidR="00000000" w:rsidDel="00000000" w:rsidP="00000000" w:rsidRDefault="00000000" w:rsidRPr="00000000" w14:paraId="000000A1">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1.1 Company Overview</w:t>
      </w:r>
      <w:r w:rsidDel="00000000" w:rsidR="00000000" w:rsidRPr="00000000">
        <w:rPr>
          <w:rtl w:val="0"/>
        </w:rPr>
      </w:r>
    </w:p>
    <w:p w:rsidR="00000000" w:rsidDel="00000000" w:rsidP="00000000" w:rsidRDefault="00000000" w:rsidRPr="00000000" w14:paraId="000000A2">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LafargeHolcim Bangladesh Ltd is the local subsidiary of Holcim Group, Switzerland, and the only fully integrated cement manufacturer in Bangladesh. Its limestone quarry in Chhatak, Sunamganj, provides a structural cost advantage over competitors relying on imported clinker. The company produces Portland Cement, Clinker, and Ready-Mix Concrete (RMC), primarily for large infrastructure projects.</w:t>
      </w:r>
      <w:r w:rsidDel="00000000" w:rsidR="00000000" w:rsidRPr="00000000">
        <w:rPr>
          <w:rtl w:val="0"/>
        </w:rPr>
      </w:r>
    </w:p>
    <w:p w:rsidR="00000000" w:rsidDel="00000000" w:rsidP="00000000" w:rsidRDefault="00000000" w:rsidRPr="00000000" w14:paraId="000000A3">
      <w:pPr>
        <w:spacing w:after="80" w:lineRule="auto"/>
        <w:rPr/>
      </w:pPr>
      <w:r w:rsidDel="00000000" w:rsidR="00000000" w:rsidRPr="00000000">
        <w:rPr>
          <w:rtl w:val="0"/>
        </w:rPr>
      </w:r>
    </w:p>
    <w:p w:rsidR="00000000" w:rsidDel="00000000" w:rsidP="00000000" w:rsidRDefault="00000000" w:rsidRPr="00000000" w14:paraId="000000A4">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1.2 Key Financial Indicators</w:t>
      </w:r>
      <w:r w:rsidDel="00000000" w:rsidR="00000000" w:rsidRPr="00000000">
        <w:rPr>
          <w:rtl w:val="0"/>
        </w:rPr>
      </w:r>
    </w:p>
    <w:p w:rsidR="00000000" w:rsidDel="00000000" w:rsidP="00000000" w:rsidRDefault="00000000" w:rsidRPr="00000000" w14:paraId="000000A5">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The following table summarises key financial metrics from the company's annual report: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33333" w:val="clear"/>
            <w:tcMar>
              <w:top w:w="80.0" w:type="dxa"/>
              <w:left w:w="120.0" w:type="dxa"/>
              <w:bottom w:w="80.0" w:type="dxa"/>
              <w:right w:w="80.0" w:type="dxa"/>
            </w:tcMar>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555555" w:val="clear"/>
            <w:tcMar>
              <w:top w:w="80.0" w:type="dxa"/>
              <w:left w:w="120.0" w:type="dxa"/>
              <w:bottom w:w="80.0" w:type="dxa"/>
              <w:right w:w="80.0" w:type="dxa"/>
            </w:tcMa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color w:val="ffffff"/>
                <w:sz w:val="20"/>
                <w:szCs w:val="20"/>
                <w:rtl w:val="0"/>
              </w:rPr>
              <w:t xml:space="preserve">Value (FY 2023)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1"/>
                <w:bCs w:val="1"/>
                <w:color w:val="000000"/>
                <w:sz w:val="20"/>
                <w:szCs w:val="20"/>
                <w:rtl w:val="0"/>
              </w:rPr>
              <w:t xml:space="preserve">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color w:val="1a1a1a"/>
                <w:sz w:val="20"/>
                <w:szCs w:val="20"/>
                <w:rtl w:val="0"/>
              </w:rPr>
              <w:t xml:space="preserve">BDT ~28+ Billion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b w:val="1"/>
                <w:bCs w:val="1"/>
                <w:color w:val="000000"/>
                <w:sz w:val="20"/>
                <w:szCs w:val="20"/>
                <w:rtl w:val="0"/>
              </w:rPr>
              <w:t xml:space="preserve">Net Profit After 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color w:val="1a1a1a"/>
                <w:sz w:val="20"/>
                <w:szCs w:val="20"/>
                <w:rtl w:val="0"/>
              </w:rPr>
              <w:t xml:space="preserve">BDT ~1.5+ Billion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1"/>
                <w:bCs w:val="1"/>
                <w:color w:val="000000"/>
                <w:sz w:val="20"/>
                <w:szCs w:val="20"/>
                <w:rtl w:val="0"/>
              </w:rPr>
              <w:t xml:space="preserve">Earnings Per Share (EPS)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color w:val="1a1a1a"/>
                <w:sz w:val="20"/>
                <w:szCs w:val="20"/>
                <w:rtl w:val="0"/>
              </w:rPr>
              <w:t xml:space="preserve">BDT ~2.50+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b w:val="1"/>
                <w:bCs w:val="1"/>
                <w:color w:val="000000"/>
                <w:sz w:val="20"/>
                <w:szCs w:val="20"/>
                <w:rtl w:val="0"/>
              </w:rPr>
              <w:t xml:space="preserve">Gross Profit Margin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color w:val="1a1a1a"/>
                <w:sz w:val="20"/>
                <w:szCs w:val="20"/>
                <w:rtl w:val="0"/>
              </w:rPr>
              <w:t xml:space="preserve">~20–22%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1"/>
                <w:bCs w:val="1"/>
                <w:color w:val="000000"/>
                <w:sz w:val="20"/>
                <w:szCs w:val="20"/>
                <w:rtl w:val="0"/>
              </w:rPr>
              <w:t xml:space="preserve">Installed Capacity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color w:val="1a1a1a"/>
                <w:sz w:val="20"/>
                <w:szCs w:val="20"/>
                <w:rtl w:val="0"/>
              </w:rPr>
              <w:t xml:space="preserve">~3 Million MT per annum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1"/>
                <w:bCs w:val="1"/>
                <w:color w:val="000000"/>
                <w:sz w:val="20"/>
                <w:szCs w:val="20"/>
                <w:rtl w:val="0"/>
              </w:rPr>
              <w:t xml:space="preserve">Clinker Production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color w:val="1a1a1a"/>
                <w:sz w:val="20"/>
                <w:szCs w:val="20"/>
                <w:rtl w:val="0"/>
              </w:rPr>
              <w:t xml:space="preserve">~2.5 Million MT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b w:val="1"/>
                <w:bCs w:val="1"/>
                <w:color w:val="000000"/>
                <w:sz w:val="20"/>
                <w:szCs w:val="20"/>
                <w:rtl w:val="0"/>
              </w:rPr>
              <w:t xml:space="preserve">Domestic Market Share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color w:val="1a1a1a"/>
                <w:sz w:val="20"/>
                <w:szCs w:val="20"/>
                <w:rtl w:val="0"/>
              </w:rPr>
              <w:t xml:space="preserve">~8–10%</w:t>
            </w:r>
            <w:r w:rsidDel="00000000" w:rsidR="00000000" w:rsidRPr="00000000">
              <w:rPr>
                <w:rtl w:val="0"/>
              </w:rPr>
            </w:r>
          </w:p>
        </w:tc>
      </w:tr>
    </w:tbl>
    <w:p w:rsidR="00000000" w:rsidDel="00000000" w:rsidP="00000000" w:rsidRDefault="00000000" w:rsidRPr="00000000" w14:paraId="000000B6">
      <w:pPr>
        <w:spacing w:after="80" w:lineRule="auto"/>
        <w:rPr/>
      </w:pPr>
      <w:r w:rsidDel="00000000" w:rsidR="00000000" w:rsidRPr="00000000">
        <w:rPr>
          <w:rtl w:val="0"/>
        </w:rPr>
      </w:r>
    </w:p>
    <w:p w:rsidR="00000000" w:rsidDel="00000000" w:rsidP="00000000" w:rsidRDefault="00000000" w:rsidRPr="00000000" w14:paraId="000000B7">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1.3 Operational Highlights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Cost advantage maintained through integrated quarry-to-cement production.</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Revenue supported by strong government infrastructure spending.</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Ready-Mix Concrete business expanded in Dhaka and Chittagong.</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Holcim Group's global sustainability practices adopted locally.</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Energy efficiency programmes reduced cost per tonne of cement.</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Eco-product portfolio developed for the green building segment.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Quarry expansion at Chhatak sanctioned to increase limestone capacity.</w:t>
      </w:r>
      <w:r w:rsidDel="00000000" w:rsidR="00000000" w:rsidRPr="00000000">
        <w:rPr>
          <w:rtl w:val="0"/>
        </w:rPr>
      </w:r>
    </w:p>
    <w:p w:rsidR="00000000" w:rsidDel="00000000" w:rsidP="00000000" w:rsidRDefault="00000000" w:rsidRPr="00000000" w14:paraId="000000BF">
      <w:pPr>
        <w:spacing w:after="80" w:lineRule="auto"/>
        <w:rPr/>
      </w:pPr>
      <w:r w:rsidDel="00000000" w:rsidR="00000000" w:rsidRPr="00000000">
        <w:rPr>
          <w:rtl w:val="0"/>
        </w:rPr>
      </w:r>
    </w:p>
    <w:p w:rsidR="00000000" w:rsidDel="00000000" w:rsidP="00000000" w:rsidRDefault="00000000" w:rsidRPr="00000000" w14:paraId="000000C0">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1.4 Strategic Direction</w:t>
      </w:r>
      <w:r w:rsidDel="00000000" w:rsidR="00000000" w:rsidRPr="00000000">
        <w:rPr>
          <w:rtl w:val="0"/>
        </w:rPr>
      </w:r>
    </w:p>
    <w:p w:rsidR="00000000" w:rsidDel="00000000" w:rsidP="00000000" w:rsidRDefault="00000000" w:rsidRPr="00000000" w14:paraId="000000C1">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The company's strategy focuses on capitalising on its integrated production advantage by expanding quarry capacity. RMC segment growth targeting large-scale infrastructure projects is a secondary priority. Sustainability is a core pillar: reducing carbon emissions per tonne, increasing alternative fuels use, and developing low-carbon cement products aligned with Holcim Group's global climate commitments.</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rtl w:val="0"/>
        </w:rPr>
      </w:r>
    </w:p>
    <w:p w:rsidR="00000000" w:rsidDel="00000000" w:rsidP="00000000" w:rsidRDefault="00000000" w:rsidRPr="00000000" w14:paraId="000000C3">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1.5 Key Risks and Challenges</w:t>
      </w:r>
      <w:r w:rsidDel="00000000" w:rsidR="00000000" w:rsidRPr="00000000">
        <w:rPr>
          <w:rtl w:val="0"/>
        </w:rPr>
      </w:r>
    </w:p>
    <w:p w:rsidR="00000000" w:rsidDel="00000000" w:rsidP="00000000" w:rsidRDefault="00000000" w:rsidRPr="00000000" w14:paraId="000000C4">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Key risks include high natural gas and energy costs, price competition from approximately 40 domestic cement manufacturers, cyclical demand linked to government capital expenditure, flooding and geological risks at the Chhatak quarry, and currency depreciation affecting imported inputs.</w:t>
      </w:r>
      <w:r w:rsidDel="00000000" w:rsidR="00000000" w:rsidRPr="00000000">
        <w:rPr>
          <w:rtl w:val="0"/>
        </w:rPr>
      </w:r>
    </w:p>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spacing w:after="12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5. BEXIMCO Ltd</w:t>
      </w:r>
      <w:r w:rsidDel="00000000" w:rsidR="00000000" w:rsidRPr="00000000">
        <w:rPr>
          <w:rtl w:val="0"/>
        </w:rPr>
      </w:r>
    </w:p>
    <w:p w:rsidR="00000000" w:rsidDel="00000000" w:rsidP="00000000" w:rsidRDefault="00000000" w:rsidRPr="00000000" w14:paraId="000000C7">
      <w:pPr>
        <w:spacing w:after="160" w:lineRule="auto"/>
        <w:rPr/>
      </w:pPr>
      <w:r w:rsidDel="00000000" w:rsidR="00000000" w:rsidRPr="00000000">
        <w:rPr>
          <w:rFonts w:ascii="Times New Roman" w:cs="Times New Roman" w:eastAsia="Times New Roman" w:hAnsi="Times New Roman"/>
          <w:i w:val="1"/>
          <w:iCs w:val="1"/>
          <w:color w:val="555555"/>
          <w:sz w:val="20"/>
          <w:szCs w:val="20"/>
          <w:rtl w:val="0"/>
        </w:rPr>
        <w:t xml:space="preserve">BEXIMCO | Conglomerate</w:t>
      </w:r>
      <w:r w:rsidDel="00000000" w:rsidR="00000000" w:rsidRPr="00000000">
        <w:rPr>
          <w:i w:val="1"/>
          <w:iCs w:val="1"/>
          <w:color w:val="555555"/>
          <w:sz w:val="20"/>
          <w:szCs w:val="20"/>
          <w:rtl w:val="0"/>
        </w:rPr>
        <w:t xml:space="preserve">-</w:t>
      </w:r>
      <w:r w:rsidDel="00000000" w:rsidR="00000000" w:rsidRPr="00000000">
        <w:rPr>
          <w:rFonts w:ascii="Times New Roman" w:cs="Times New Roman" w:eastAsia="Times New Roman" w:hAnsi="Times New Roman"/>
          <w:i w:val="1"/>
          <w:iCs w:val="1"/>
          <w:color w:val="555555"/>
          <w:sz w:val="20"/>
          <w:szCs w:val="20"/>
          <w:rtl w:val="0"/>
        </w:rPr>
        <w:t xml:space="preserve">Textile, Energy, Real Estate, Media | DSE | FY 2022–23</w:t>
      </w:r>
      <w:r w:rsidDel="00000000" w:rsidR="00000000" w:rsidRPr="00000000">
        <w:rPr>
          <w:rtl w:val="0"/>
        </w:rPr>
      </w:r>
    </w:p>
    <w:p w:rsidR="00000000" w:rsidDel="00000000" w:rsidP="00000000" w:rsidRDefault="00000000" w:rsidRPr="00000000" w14:paraId="000000C8">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1.1 Company Overview</w:t>
      </w:r>
      <w:r w:rsidDel="00000000" w:rsidR="00000000" w:rsidRPr="00000000">
        <w:rPr>
          <w:rtl w:val="0"/>
        </w:rPr>
      </w:r>
    </w:p>
    <w:p w:rsidR="00000000" w:rsidDel="00000000" w:rsidP="00000000" w:rsidRDefault="00000000" w:rsidRPr="00000000" w14:paraId="000000C9">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BEXIMCO Ltd is the flagship entity of the BEXIMCO Group, one of Bangladesh's largest and most diversified conglomerates. Business interests span textiles and ready-made garments, energy and power generation, real estate, and media. The Group employs over 35,000 people and its textile arm is a major exporter supplying global brands including Zara, H&amp;M, and Marks &amp; Spencer.</w:t>
      </w:r>
      <w:r w:rsidDel="00000000" w:rsidR="00000000" w:rsidRPr="00000000">
        <w:rPr>
          <w:rtl w:val="0"/>
        </w:rPr>
      </w:r>
    </w:p>
    <w:p w:rsidR="00000000" w:rsidDel="00000000" w:rsidP="00000000" w:rsidRDefault="00000000" w:rsidRPr="00000000" w14:paraId="000000CA">
      <w:pPr>
        <w:spacing w:after="80" w:lineRule="auto"/>
        <w:rPr/>
      </w:pPr>
      <w:r w:rsidDel="00000000" w:rsidR="00000000" w:rsidRPr="00000000">
        <w:rPr>
          <w:rtl w:val="0"/>
        </w:rPr>
      </w:r>
    </w:p>
    <w:p w:rsidR="00000000" w:rsidDel="00000000" w:rsidP="00000000" w:rsidRDefault="00000000" w:rsidRPr="00000000" w14:paraId="000000CB">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1.2 Key Financial Indicators</w:t>
      </w:r>
      <w:r w:rsidDel="00000000" w:rsidR="00000000" w:rsidRPr="00000000">
        <w:rPr>
          <w:rtl w:val="0"/>
        </w:rPr>
      </w:r>
    </w:p>
    <w:p w:rsidR="00000000" w:rsidDel="00000000" w:rsidP="00000000" w:rsidRDefault="00000000" w:rsidRPr="00000000" w14:paraId="000000CC">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The following table summarises key financial metrics from the company's annual report: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33333" w:val="clear"/>
            <w:tcMar>
              <w:top w:w="80.0" w:type="dxa"/>
              <w:left w:w="120.0" w:type="dxa"/>
              <w:bottom w:w="80.0" w:type="dxa"/>
              <w:right w:w="80.0" w:type="dxa"/>
            </w:tcMar>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555555" w:val="clear"/>
            <w:tcMar>
              <w:top w:w="80.0" w:type="dxa"/>
              <w:left w:w="120.0" w:type="dxa"/>
              <w:bottom w:w="80.0" w:type="dxa"/>
              <w:right w:w="80.0" w:type="dxa"/>
            </w:tcMar>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color w:val="ffffff"/>
                <w:sz w:val="20"/>
                <w:szCs w:val="20"/>
                <w:rtl w:val="0"/>
              </w:rPr>
              <w:t xml:space="preserve">Value (FY 2022–23)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b w:val="1"/>
                <w:bCs w:val="1"/>
                <w:color w:val="000000"/>
                <w:sz w:val="20"/>
                <w:szCs w:val="20"/>
                <w:rtl w:val="0"/>
              </w:rPr>
              <w:t xml:space="preserve">Consolidated 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80.0" w:type="dxa"/>
            </w:tcMar>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color w:val="1a1a1a"/>
                <w:sz w:val="20"/>
                <w:szCs w:val="20"/>
                <w:rtl w:val="0"/>
              </w:rPr>
              <w:t xml:space="preserve">BDT ~38+ Billion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80.0" w:type="dxa"/>
            </w:tcMar>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b w:val="1"/>
                <w:bCs w:val="1"/>
                <w:color w:val="000000"/>
                <w:sz w:val="20"/>
                <w:szCs w:val="20"/>
                <w:rtl w:val="0"/>
              </w:rPr>
              <w:t xml:space="preserve">Net Profit After 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color w:val="1a1a1a"/>
                <w:sz w:val="20"/>
                <w:szCs w:val="20"/>
                <w:rtl w:val="0"/>
              </w:rPr>
              <w:t xml:space="preserve">BDT ~3+ Billion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b w:val="1"/>
                <w:bCs w:val="1"/>
                <w:color w:val="000000"/>
                <w:sz w:val="20"/>
                <w:szCs w:val="20"/>
                <w:rtl w:val="0"/>
              </w:rPr>
              <w:t xml:space="preserve">Earnings Per Share (EPS)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80.0" w:type="dxa"/>
            </w:tcMar>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color w:val="1a1a1a"/>
                <w:sz w:val="20"/>
                <w:szCs w:val="20"/>
                <w:rtl w:val="0"/>
              </w:rPr>
              <w:t xml:space="preserve">BDT ~3.50+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80.0" w:type="dxa"/>
            </w:tcMar>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b w:val="1"/>
                <w:bCs w:val="1"/>
                <w:color w:val="000000"/>
                <w:sz w:val="20"/>
                <w:szCs w:val="20"/>
                <w:rtl w:val="0"/>
              </w:rPr>
              <w:t xml:space="preserve">Total Assets (Consolidated)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color w:val="1a1a1a"/>
                <w:sz w:val="20"/>
                <w:szCs w:val="20"/>
                <w:rtl w:val="0"/>
              </w:rPr>
              <w:t xml:space="preserve">BDT ~150+ Billion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b w:val="1"/>
                <w:bCs w:val="1"/>
                <w:color w:val="000000"/>
                <w:sz w:val="20"/>
                <w:szCs w:val="20"/>
                <w:rtl w:val="0"/>
              </w:rPr>
              <w:t xml:space="preserve">Power Generation Capacity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80.0" w:type="dxa"/>
            </w:tcMa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color w:val="1a1a1a"/>
                <w:sz w:val="20"/>
                <w:szCs w:val="20"/>
                <w:rtl w:val="0"/>
              </w:rPr>
              <w:t xml:space="preserve">750+ MW (Group level)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80.0" w:type="dxa"/>
            </w:tcMa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b w:val="1"/>
                <w:bCs w:val="1"/>
                <w:color w:val="000000"/>
                <w:sz w:val="20"/>
                <w:szCs w:val="20"/>
                <w:rtl w:val="0"/>
              </w:rPr>
              <w:t xml:space="preserve">Employee Headcount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color w:val="1a1a1a"/>
                <w:sz w:val="20"/>
                <w:szCs w:val="20"/>
                <w:rtl w:val="0"/>
              </w:rPr>
              <w:t xml:space="preserve">35,000+ (Group)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80.0" w:type="dxa"/>
            </w:tcMa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b w:val="1"/>
                <w:bCs w:val="1"/>
                <w:color w:val="000000"/>
                <w:sz w:val="20"/>
                <w:szCs w:val="20"/>
                <w:rtl w:val="0"/>
              </w:rPr>
              <w:t xml:space="preserve">Export Markets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80.0" w:type="dxa"/>
            </w:tcMa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color w:val="1a1a1a"/>
                <w:sz w:val="20"/>
                <w:szCs w:val="20"/>
                <w:rtl w:val="0"/>
              </w:rPr>
              <w:t xml:space="preserve">40+ countries</w:t>
            </w:r>
            <w:r w:rsidDel="00000000" w:rsidR="00000000" w:rsidRPr="00000000">
              <w:rPr>
                <w:rtl w:val="0"/>
              </w:rPr>
            </w:r>
          </w:p>
        </w:tc>
      </w:tr>
    </w:tbl>
    <w:p w:rsidR="00000000" w:rsidDel="00000000" w:rsidP="00000000" w:rsidRDefault="00000000" w:rsidRPr="00000000" w14:paraId="000000DD">
      <w:pPr>
        <w:spacing w:after="80" w:lineRule="auto"/>
        <w:rPr/>
      </w:pPr>
      <w:r w:rsidDel="00000000" w:rsidR="00000000" w:rsidRPr="00000000">
        <w:rPr>
          <w:rtl w:val="0"/>
        </w:rPr>
      </w:r>
    </w:p>
    <w:p w:rsidR="00000000" w:rsidDel="00000000" w:rsidP="00000000" w:rsidRDefault="00000000" w:rsidRPr="00000000" w14:paraId="000000DE">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1.3 Operational Highlights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Garment export revenues recovered strongly following post-COVID-19 global demand rebound.</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Long-term supply agreements secured with major global fashion brands.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BEXIMCO Power contributed stable energy revenues through IPP arrangements.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Real estate segment benefited from sustained housing demand in Dhaka.</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Investment in modern spinning and weaving machinery to expand production capacity.</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International labour and environmental compliance standards maintained.</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Conglomerate diversification provided earnings resilience across sector-specific downturns.</w:t>
      </w:r>
      <w:r w:rsidDel="00000000" w:rsidR="00000000" w:rsidRPr="00000000">
        <w:rPr>
          <w:rtl w:val="0"/>
        </w:rPr>
      </w:r>
    </w:p>
    <w:p w:rsidR="00000000" w:rsidDel="00000000" w:rsidP="00000000" w:rsidRDefault="00000000" w:rsidRPr="00000000" w14:paraId="000000E6">
      <w:pPr>
        <w:spacing w:after="80" w:lineRule="auto"/>
        <w:rPr/>
      </w:pPr>
      <w:r w:rsidDel="00000000" w:rsidR="00000000" w:rsidRPr="00000000">
        <w:rPr>
          <w:rtl w:val="0"/>
        </w:rPr>
      </w:r>
    </w:p>
    <w:p w:rsidR="00000000" w:rsidDel="00000000" w:rsidP="00000000" w:rsidRDefault="00000000" w:rsidRPr="00000000" w14:paraId="000000E7">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1.4 Strategic Direction</w:t>
      </w:r>
      <w:r w:rsidDel="00000000" w:rsidR="00000000" w:rsidRPr="00000000">
        <w:rPr>
          <w:rtl w:val="0"/>
        </w:rPr>
      </w:r>
    </w:p>
    <w:p w:rsidR="00000000" w:rsidDel="00000000" w:rsidP="00000000" w:rsidRDefault="00000000" w:rsidRPr="00000000" w14:paraId="000000E8">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BEXIMCO's strategy is to move up the garment value chain from basic readymade garments toward higher-margin technical textiles and sustainable fashion products. In energy, the company aims to expand renewable generation capacity to power factories sustainably and meet international buyers' ESG requirements. Cross-subsidiary synergies are expected to support real estate development projects.</w:t>
      </w:r>
      <w:r w:rsidDel="00000000" w:rsidR="00000000" w:rsidRPr="00000000">
        <w:rPr>
          <w:rtl w:val="0"/>
        </w:rPr>
      </w:r>
    </w:p>
    <w:p w:rsidR="00000000" w:rsidDel="00000000" w:rsidP="00000000" w:rsidRDefault="00000000" w:rsidRPr="00000000" w14:paraId="000000E9">
      <w:pPr>
        <w:spacing w:after="80" w:lineRule="auto"/>
        <w:rPr/>
      </w:pPr>
      <w:r w:rsidDel="00000000" w:rsidR="00000000" w:rsidRPr="00000000">
        <w:rPr>
          <w:rtl w:val="0"/>
        </w:rPr>
      </w:r>
    </w:p>
    <w:p w:rsidR="00000000" w:rsidDel="00000000" w:rsidP="00000000" w:rsidRDefault="00000000" w:rsidRPr="00000000" w14:paraId="000000EA">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1.5 Key Risks and Challenges</w:t>
      </w:r>
      <w:r w:rsidDel="00000000" w:rsidR="00000000" w:rsidRPr="00000000">
        <w:rPr>
          <w:rtl w:val="0"/>
        </w:rPr>
      </w:r>
    </w:p>
    <w:p w:rsidR="00000000" w:rsidDel="00000000" w:rsidP="00000000" w:rsidRDefault="00000000" w:rsidRPr="00000000" w14:paraId="000000EB">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Key risks include global apparel demand volatility, foreign exchange risk on export receivables, rising energy and raw material costs, geopolitical trade disruptions, labour cost inflation in Bangladesh, governance and transparency concerns associated with a politically connected conglomerate structure, and elevated debt levels across the Group.</w:t>
      </w: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spacing w:after="120" w:before="360" w:lineRule="auto"/>
        <w:rPr/>
      </w:pPr>
      <w:r w:rsidDel="00000000" w:rsidR="00000000" w:rsidRPr="00000000">
        <w:rPr>
          <w:rFonts w:ascii="Times New Roman" w:cs="Times New Roman" w:eastAsia="Times New Roman" w:hAnsi="Times New Roman"/>
          <w:b w:val="1"/>
          <w:bCs w:val="1"/>
          <w:color w:val="000000"/>
          <w:sz w:val="28"/>
          <w:szCs w:val="28"/>
          <w:rtl w:val="0"/>
        </w:rPr>
        <w:t xml:space="preserve">6. Comparative Analysis and Conclusion</w:t>
      </w:r>
      <w:r w:rsidDel="00000000" w:rsidR="00000000" w:rsidRPr="00000000">
        <w:rPr>
          <w:rtl w:val="0"/>
        </w:rPr>
      </w:r>
    </w:p>
    <w:p w:rsidR="00000000" w:rsidDel="00000000" w:rsidP="00000000" w:rsidRDefault="00000000" w:rsidRPr="00000000" w14:paraId="000000EE">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6.1 Cross-Company Comparison</w:t>
      </w:r>
      <w:r w:rsidDel="00000000" w:rsidR="00000000" w:rsidRPr="00000000">
        <w:rPr>
          <w:rtl w:val="0"/>
        </w:rPr>
      </w:r>
    </w:p>
    <w:p w:rsidR="00000000" w:rsidDel="00000000" w:rsidP="00000000" w:rsidRDefault="00000000" w:rsidRPr="00000000" w14:paraId="000000EF">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The table below provides a comparative overview of the five companies across key dimensions:</w:t>
      </w:r>
      <w:r w:rsidDel="00000000" w:rsidR="00000000" w:rsidRPr="00000000">
        <w:rPr>
          <w:rtl w:val="0"/>
        </w:rPr>
      </w:r>
    </w:p>
    <w:tbl>
      <w:tblPr>
        <w:tblStyle w:val="Table6"/>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410"/>
        <w:gridCol w:w="1470"/>
        <w:gridCol w:w="1365"/>
        <w:gridCol w:w="1785"/>
        <w:gridCol w:w="1785"/>
        <w:tblGridChange w:id="0">
          <w:tblGrid>
            <w:gridCol w:w="1560"/>
            <w:gridCol w:w="1410"/>
            <w:gridCol w:w="1470"/>
            <w:gridCol w:w="1365"/>
            <w:gridCol w:w="1785"/>
            <w:gridCol w:w="178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33333" w:val="clear"/>
            <w:tcMar>
              <w:top w:w="70.0" w:type="dxa"/>
              <w:left w:w="100.0" w:type="dxa"/>
              <w:bottom w:w="70.0" w:type="dxa"/>
              <w:right w:w="80.0" w:type="dxa"/>
            </w:tcMar>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b w:val="1"/>
                <w:bCs w:val="1"/>
                <w:color w:val="ffffff"/>
                <w:sz w:val="18"/>
                <w:szCs w:val="18"/>
                <w:rtl w:val="0"/>
              </w:rPr>
              <w:t xml:space="preserve">Dimension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33333" w:val="clear"/>
            <w:tcMar>
              <w:top w:w="70.0" w:type="dxa"/>
              <w:left w:w="100.0" w:type="dxa"/>
              <w:bottom w:w="70.0" w:type="dxa"/>
              <w:right w:w="80.0" w:type="dxa"/>
            </w:tcMar>
          </w:tcPr>
          <w:p w:rsidR="00000000" w:rsidDel="00000000" w:rsidP="00000000" w:rsidRDefault="00000000" w:rsidRPr="00000000" w14:paraId="000000F1">
            <w:pPr>
              <w:rPr/>
            </w:pPr>
            <w:r w:rsidDel="00000000" w:rsidR="00000000" w:rsidRPr="00000000">
              <w:rPr>
                <w:b w:val="1"/>
                <w:bCs w:val="1"/>
                <w:color w:val="ffffff"/>
                <w:sz w:val="18"/>
                <w:szCs w:val="18"/>
                <w:rtl w:val="0"/>
              </w:rPr>
              <w:t xml:space="preserve">Grameenphone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33333" w:val="clear"/>
            <w:tcMar>
              <w:top w:w="70.0" w:type="dxa"/>
              <w:left w:w="100.0" w:type="dxa"/>
              <w:bottom w:w="70.0" w:type="dxa"/>
              <w:right w:w="80.0" w:type="dxa"/>
            </w:tcMa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1"/>
                <w:bCs w:val="1"/>
                <w:color w:val="ffffff"/>
                <w:sz w:val="18"/>
                <w:szCs w:val="18"/>
                <w:rtl w:val="0"/>
              </w:rPr>
              <w:t xml:space="preserve">Square Pharma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33333" w:val="clear"/>
            <w:tcMar>
              <w:top w:w="70.0" w:type="dxa"/>
              <w:left w:w="100.0" w:type="dxa"/>
              <w:bottom w:w="70.0" w:type="dxa"/>
              <w:right w:w="80.0" w:type="dxa"/>
            </w:tcMa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1"/>
                <w:bCs w:val="1"/>
                <w:color w:val="ffffff"/>
                <w:sz w:val="18"/>
                <w:szCs w:val="18"/>
                <w:rtl w:val="0"/>
              </w:rPr>
              <w:t xml:space="preserve">BRAC Bank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33333" w:val="clear"/>
            <w:tcMar>
              <w:top w:w="70.0" w:type="dxa"/>
              <w:left w:w="100.0" w:type="dxa"/>
              <w:bottom w:w="70.0" w:type="dxa"/>
              <w:right w:w="80.0" w:type="dxa"/>
            </w:tcMa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1"/>
                <w:bCs w:val="1"/>
                <w:color w:val="ffffff"/>
                <w:sz w:val="18"/>
                <w:szCs w:val="18"/>
                <w:rtl w:val="0"/>
              </w:rPr>
              <w:t xml:space="preserve">LafargeHolcim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33333" w:val="clear"/>
            <w:tcMar>
              <w:top w:w="70.0" w:type="dxa"/>
              <w:left w:w="100.0" w:type="dxa"/>
              <w:bottom w:w="70.0" w:type="dxa"/>
              <w:right w:w="80.0" w:type="dxa"/>
            </w:tcMa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b w:val="1"/>
                <w:bCs w:val="1"/>
                <w:color w:val="ffffff"/>
                <w:sz w:val="18"/>
                <w:szCs w:val="18"/>
                <w:rtl w:val="0"/>
              </w:rPr>
              <w:t xml:space="preserve">BEXIMCO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80.0" w:type="dxa"/>
            </w:tcMa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0"/>
                <w:bCs w:val="0"/>
                <w:color w:val="1a1a1a"/>
                <w:sz w:val="18"/>
                <w:szCs w:val="18"/>
                <w:rtl w:val="0"/>
              </w:rPr>
              <w:t xml:space="preserve">Industry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80.0" w:type="dxa"/>
            </w:tcMar>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b w:val="0"/>
                <w:bCs w:val="0"/>
                <w:color w:val="1a1a1a"/>
                <w:sz w:val="18"/>
                <w:szCs w:val="18"/>
                <w:rtl w:val="0"/>
              </w:rPr>
              <w:t xml:space="preserve">Telecom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80.0" w:type="dxa"/>
            </w:tcMa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0"/>
                <w:bCs w:val="0"/>
                <w:color w:val="1a1a1a"/>
                <w:sz w:val="18"/>
                <w:szCs w:val="18"/>
                <w:rtl w:val="0"/>
              </w:rPr>
              <w:t xml:space="preserve">Pharma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80.0" w:type="dxa"/>
            </w:tcMa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b w:val="0"/>
                <w:bCs w:val="0"/>
                <w:color w:val="1a1a1a"/>
                <w:sz w:val="18"/>
                <w:szCs w:val="18"/>
                <w:rtl w:val="0"/>
              </w:rPr>
              <w:t xml:space="preserve">Banking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80.0" w:type="dxa"/>
            </w:tcMa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b w:val="0"/>
                <w:bCs w:val="0"/>
                <w:color w:val="1a1a1a"/>
                <w:sz w:val="18"/>
                <w:szCs w:val="18"/>
                <w:rtl w:val="0"/>
              </w:rPr>
              <w:t xml:space="preserve">Cement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80.0" w:type="dxa"/>
            </w:tcMa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b w:val="0"/>
                <w:bCs w:val="0"/>
                <w:color w:val="1a1a1a"/>
                <w:sz w:val="18"/>
                <w:szCs w:val="18"/>
                <w:rtl w:val="0"/>
              </w:rPr>
              <w:t xml:space="preserve">Conglomerate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00.0" w:type="dxa"/>
              <w:bottom w:w="70.0" w:type="dxa"/>
              <w:right w:w="80.0" w:type="dxa"/>
            </w:tcMa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b w:val="0"/>
                <w:bCs w:val="0"/>
                <w:color w:val="1a1a1a"/>
                <w:sz w:val="18"/>
                <w:szCs w:val="18"/>
                <w:rtl w:val="0"/>
              </w:rPr>
              <w:t xml:space="preserve">Revenue Scale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00.0" w:type="dxa"/>
              <w:bottom w:w="70.0" w:type="dxa"/>
              <w:right w:w="80.0" w:type="dxa"/>
            </w:tcMar>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b w:val="0"/>
                <w:bCs w:val="0"/>
                <w:color w:val="1a1a1a"/>
                <w:sz w:val="18"/>
                <w:szCs w:val="18"/>
                <w:rtl w:val="0"/>
              </w:rPr>
              <w:t xml:space="preserve">Highest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00.0" w:type="dxa"/>
              <w:bottom w:w="70.0" w:type="dxa"/>
              <w:right w:w="80.0" w:type="dxa"/>
            </w:tcMar>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b w:val="0"/>
                <w:bCs w:val="0"/>
                <w:color w:val="1a1a1a"/>
                <w:sz w:val="18"/>
                <w:szCs w:val="18"/>
                <w:rtl w:val="0"/>
              </w:rPr>
              <w:t xml:space="preserve">Large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00.0" w:type="dxa"/>
              <w:bottom w:w="70.0" w:type="dxa"/>
              <w:right w:w="80.0" w:type="dxa"/>
            </w:tcMar>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b w:val="0"/>
                <w:bCs w:val="0"/>
                <w:color w:val="1a1a1a"/>
                <w:sz w:val="18"/>
                <w:szCs w:val="18"/>
                <w:rtl w:val="0"/>
              </w:rPr>
              <w:t xml:space="preserve">Large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00.0" w:type="dxa"/>
              <w:bottom w:w="70.0" w:type="dxa"/>
              <w:right w:w="80.0" w:type="dxa"/>
            </w:tcMar>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b w:val="0"/>
                <w:bCs w:val="0"/>
                <w:color w:val="1a1a1a"/>
                <w:sz w:val="18"/>
                <w:szCs w:val="18"/>
                <w:rtl w:val="0"/>
              </w:rPr>
              <w:t xml:space="preserve">Medium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00.0" w:type="dxa"/>
              <w:bottom w:w="70.0" w:type="dxa"/>
              <w:right w:w="80.0" w:type="dxa"/>
            </w:tcMar>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b w:val="0"/>
                <w:bCs w:val="0"/>
                <w:color w:val="1a1a1a"/>
                <w:sz w:val="18"/>
                <w:szCs w:val="18"/>
                <w:rtl w:val="0"/>
              </w:rPr>
              <w:t xml:space="preserve">Large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80.0" w:type="dxa"/>
            </w:tcMar>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b w:val="0"/>
                <w:bCs w:val="0"/>
                <w:color w:val="1a1a1a"/>
                <w:sz w:val="18"/>
                <w:szCs w:val="18"/>
                <w:rtl w:val="0"/>
              </w:rPr>
              <w:t xml:space="preserve">Profitability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80.0" w:type="dxa"/>
            </w:tcMar>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b w:val="0"/>
                <w:bCs w:val="0"/>
                <w:color w:val="1a1a1a"/>
                <w:sz w:val="18"/>
                <w:szCs w:val="18"/>
                <w:rtl w:val="0"/>
              </w:rPr>
              <w:t xml:space="preserve">Very 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80.0" w:type="dxa"/>
            </w:tcMar>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b w:val="0"/>
                <w:bCs w:val="0"/>
                <w:color w:val="1a1a1a"/>
                <w:sz w:val="18"/>
                <w:szCs w:val="18"/>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80.0" w:type="dxa"/>
            </w:tcMar>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b w:val="0"/>
                <w:bCs w:val="0"/>
                <w:color w:val="1a1a1a"/>
                <w:sz w:val="18"/>
                <w:szCs w:val="18"/>
                <w:rtl w:val="0"/>
              </w:rPr>
              <w:t xml:space="preserve">Moderate–High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80.0" w:type="dxa"/>
            </w:tcMar>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b w:val="0"/>
                <w:bCs w:val="0"/>
                <w:color w:val="1a1a1a"/>
                <w:sz w:val="18"/>
                <w:szCs w:val="18"/>
                <w:rtl w:val="0"/>
              </w:rPr>
              <w:t xml:space="preserve">Moderate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80.0" w:type="dxa"/>
            </w:tcMar>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b w:val="0"/>
                <w:bCs w:val="0"/>
                <w:color w:val="1a1a1a"/>
                <w:sz w:val="18"/>
                <w:szCs w:val="18"/>
                <w:rtl w:val="0"/>
              </w:rPr>
              <w:t xml:space="preserve">Moderate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00.0" w:type="dxa"/>
              <w:bottom w:w="70.0" w:type="dxa"/>
              <w:right w:w="80.0" w:type="dxa"/>
            </w:tcMar>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b w:val="0"/>
                <w:bCs w:val="0"/>
                <w:color w:val="1a1a1a"/>
                <w:sz w:val="18"/>
                <w:szCs w:val="18"/>
                <w:rtl w:val="0"/>
              </w:rPr>
              <w:t xml:space="preserve">Dividend Record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00.0" w:type="dxa"/>
              <w:bottom w:w="70.0" w:type="dxa"/>
              <w:right w:w="80.0" w:type="dxa"/>
            </w:tcMar>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b w:val="0"/>
                <w:bCs w:val="0"/>
                <w:color w:val="1a1a1a"/>
                <w:sz w:val="18"/>
                <w:szCs w:val="18"/>
                <w:rtl w:val="0"/>
              </w:rPr>
              <w:t xml:space="preserve">Consistent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00.0" w:type="dxa"/>
              <w:bottom w:w="70.0" w:type="dxa"/>
              <w:right w:w="80.0" w:type="dxa"/>
            </w:tcMar>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b w:val="0"/>
                <w:bCs w:val="0"/>
                <w:color w:val="1a1a1a"/>
                <w:sz w:val="18"/>
                <w:szCs w:val="18"/>
                <w:rtl w:val="0"/>
              </w:rPr>
              <w:t xml:space="preserve">Consistent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00.0" w:type="dxa"/>
              <w:bottom w:w="70.0" w:type="dxa"/>
              <w:right w:w="80.0" w:type="dxa"/>
            </w:tcMar>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b w:val="0"/>
                <w:bCs w:val="0"/>
                <w:color w:val="1a1a1a"/>
                <w:sz w:val="18"/>
                <w:szCs w:val="18"/>
                <w:rtl w:val="0"/>
              </w:rPr>
              <w:t xml:space="preserve">Growing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00.0" w:type="dxa"/>
              <w:bottom w:w="70.0" w:type="dxa"/>
              <w:right w:w="80.0" w:type="dxa"/>
            </w:tcMar>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b w:val="0"/>
                <w:bCs w:val="0"/>
                <w:color w:val="1a1a1a"/>
                <w:sz w:val="18"/>
                <w:szCs w:val="18"/>
                <w:rtl w:val="0"/>
              </w:rPr>
              <w:t xml:space="preserve">Variable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00.0" w:type="dxa"/>
              <w:bottom w:w="70.0" w:type="dxa"/>
              <w:right w:w="80.0" w:type="dxa"/>
            </w:tcMar>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b w:val="0"/>
                <w:bCs w:val="0"/>
                <w:color w:val="1a1a1a"/>
                <w:sz w:val="18"/>
                <w:szCs w:val="18"/>
                <w:rtl w:val="0"/>
              </w:rPr>
              <w:t xml:space="preserve">Variable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80.0" w:type="dxa"/>
            </w:tcMar>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b w:val="0"/>
                <w:bCs w:val="0"/>
                <w:color w:val="1a1a1a"/>
                <w:sz w:val="18"/>
                <w:szCs w:val="18"/>
                <w:rtl w:val="0"/>
              </w:rPr>
              <w:t xml:space="preserve">Growth Driver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80.0" w:type="dxa"/>
            </w:tcMa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b w:val="0"/>
                <w:bCs w:val="0"/>
                <w:color w:val="1a1a1a"/>
                <w:sz w:val="18"/>
                <w:szCs w:val="18"/>
                <w:rtl w:val="0"/>
              </w:rPr>
              <w:t xml:space="preserve">Data &amp; Digital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80.0" w:type="dxa"/>
            </w:tcMar>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b w:val="0"/>
                <w:bCs w:val="0"/>
                <w:color w:val="1a1a1a"/>
                <w:sz w:val="18"/>
                <w:szCs w:val="18"/>
                <w:rtl w:val="0"/>
              </w:rPr>
              <w:t xml:space="preserve">Export &amp; R&amp;D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80.0" w:type="dxa"/>
            </w:tcMar>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b w:val="0"/>
                <w:bCs w:val="0"/>
                <w:color w:val="1a1a1a"/>
                <w:sz w:val="18"/>
                <w:szCs w:val="18"/>
                <w:rtl w:val="0"/>
              </w:rPr>
              <w:t xml:space="preserve">SME &amp; bKash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80.0" w:type="dxa"/>
            </w:tcMar>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b w:val="0"/>
                <w:bCs w:val="0"/>
                <w:color w:val="1a1a1a"/>
                <w:sz w:val="18"/>
                <w:szCs w:val="18"/>
                <w:rtl w:val="0"/>
              </w:rPr>
              <w:t xml:space="preserve">Infrastructure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70.0" w:type="dxa"/>
              <w:left w:w="100.0" w:type="dxa"/>
              <w:bottom w:w="70.0" w:type="dxa"/>
              <w:right w:w="80.0" w:type="dxa"/>
            </w:tcMar>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b w:val="0"/>
                <w:bCs w:val="0"/>
                <w:color w:val="1a1a1a"/>
                <w:sz w:val="18"/>
                <w:szCs w:val="18"/>
                <w:rtl w:val="0"/>
              </w:rPr>
              <w:t xml:space="preserve">Textile Export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00.0" w:type="dxa"/>
              <w:bottom w:w="70.0" w:type="dxa"/>
              <w:right w:w="80.0" w:type="dxa"/>
            </w:tcMa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b w:val="0"/>
                <w:bCs w:val="0"/>
                <w:color w:val="1a1a1a"/>
                <w:sz w:val="18"/>
                <w:szCs w:val="18"/>
                <w:rtl w:val="0"/>
              </w:rPr>
              <w:t xml:space="preserve">Primary 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00.0" w:type="dxa"/>
              <w:bottom w:w="70.0" w:type="dxa"/>
              <w:right w:w="80.0" w:type="dxa"/>
            </w:tcMa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b w:val="0"/>
                <w:bCs w:val="0"/>
                <w:color w:val="1a1a1a"/>
                <w:sz w:val="18"/>
                <w:szCs w:val="18"/>
                <w:rtl w:val="0"/>
              </w:rPr>
              <w:t xml:space="preserve">Regulation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00.0" w:type="dxa"/>
              <w:bottom w:w="70.0" w:type="dxa"/>
              <w:right w:w="80.0" w:type="dxa"/>
            </w:tcMar>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b w:val="0"/>
                <w:bCs w:val="0"/>
                <w:color w:val="1a1a1a"/>
                <w:sz w:val="18"/>
                <w:szCs w:val="18"/>
                <w:rtl w:val="0"/>
              </w:rPr>
              <w:t xml:space="preserve">Raw Materials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00.0" w:type="dxa"/>
              <w:bottom w:w="70.0" w:type="dxa"/>
              <w:right w:w="80.0" w:type="dxa"/>
            </w:tcMa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0"/>
                <w:bCs w:val="0"/>
                <w:color w:val="1a1a1a"/>
                <w:sz w:val="18"/>
                <w:szCs w:val="18"/>
                <w:rtl w:val="0"/>
              </w:rPr>
              <w:t xml:space="preserve">NPL Rise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00.0" w:type="dxa"/>
              <w:bottom w:w="70.0" w:type="dxa"/>
              <w:right w:w="80.0" w:type="dxa"/>
            </w:tcMar>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b w:val="0"/>
                <w:bCs w:val="0"/>
                <w:color w:val="1a1a1a"/>
                <w:sz w:val="18"/>
                <w:szCs w:val="18"/>
                <w:rtl w:val="0"/>
              </w:rPr>
              <w:t xml:space="preserve">Energy Costs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00.0" w:type="dxa"/>
              <w:bottom w:w="70.0" w:type="dxa"/>
              <w:right w:w="80.0" w:type="dxa"/>
            </w:tcMar>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b w:val="0"/>
                <w:bCs w:val="0"/>
                <w:color w:val="1a1a1a"/>
                <w:sz w:val="18"/>
                <w:szCs w:val="18"/>
                <w:rtl w:val="0"/>
              </w:rPr>
              <w:t xml:space="preserve">High Debt</w:t>
            </w:r>
            <w:r w:rsidDel="00000000" w:rsidR="00000000" w:rsidRPr="00000000">
              <w:rPr>
                <w:rtl w:val="0"/>
              </w:rPr>
            </w:r>
          </w:p>
        </w:tc>
      </w:tr>
    </w:tbl>
    <w:p w:rsidR="00000000" w:rsidDel="00000000" w:rsidP="00000000" w:rsidRDefault="00000000" w:rsidRPr="00000000" w14:paraId="0000011A">
      <w:pPr>
        <w:spacing w:after="80" w:lineRule="auto"/>
        <w:rPr/>
      </w:pPr>
      <w:r w:rsidDel="00000000" w:rsidR="00000000" w:rsidRPr="00000000">
        <w:rPr>
          <w:rtl w:val="0"/>
        </w:rPr>
      </w:r>
    </w:p>
    <w:p w:rsidR="00000000" w:rsidDel="00000000" w:rsidP="00000000" w:rsidRDefault="00000000" w:rsidRPr="00000000" w14:paraId="0000011B">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6.2 Observations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Grameenphone leads in profitability, supported by its scale and operating leverage, though it remains vulnerable to regulatory and competitive pressure.</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Square Pharmaceuticals demonstrates diversified, consistent </w:t>
      </w:r>
      <w:r w:rsidDel="00000000" w:rsidR="00000000" w:rsidRPr="00000000">
        <w:rPr>
          <w:color w:val="1a1a1a"/>
          <w:rtl w:val="0"/>
        </w:rPr>
        <w:t xml:space="preserve">growth,</w:t>
      </w: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 with export expansion into regulated markets providing structural resilience.</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BRAC Bank holds a unique position at the intersection of banking and digital financial services through bKash, offering high long-term growth potential.</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LafargeHolcim's integrated production model confers a cost advantage; however, a fragmented market and high energy costs constrain profit margins.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BEXIMCO's conglomerate diversification provides revenue stability, but elevated leverage and governance complexity represent material investor risks.</w:t>
      </w:r>
      <w:r w:rsidDel="00000000" w:rsidR="00000000" w:rsidRPr="00000000">
        <w:rPr>
          <w:rtl w:val="0"/>
        </w:rPr>
      </w:r>
    </w:p>
    <w:p w:rsidR="00000000" w:rsidDel="00000000" w:rsidP="00000000" w:rsidRDefault="00000000" w:rsidRPr="00000000" w14:paraId="00000121">
      <w:pPr>
        <w:spacing w:after="80" w:lineRule="auto"/>
        <w:rPr/>
      </w:pPr>
      <w:r w:rsidDel="00000000" w:rsidR="00000000" w:rsidRPr="00000000">
        <w:rPr>
          <w:rtl w:val="0"/>
        </w:rPr>
      </w:r>
    </w:p>
    <w:p w:rsidR="00000000" w:rsidDel="00000000" w:rsidP="00000000" w:rsidRDefault="00000000" w:rsidRPr="00000000" w14:paraId="00000122">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6.3 Conclusion</w:t>
      </w:r>
      <w:r w:rsidDel="00000000" w:rsidR="00000000" w:rsidRPr="00000000">
        <w:rPr>
          <w:rtl w:val="0"/>
        </w:rPr>
      </w:r>
    </w:p>
    <w:p w:rsidR="00000000" w:rsidDel="00000000" w:rsidP="00000000" w:rsidRDefault="00000000" w:rsidRPr="00000000" w14:paraId="00000123">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The five companies </w:t>
      </w:r>
      <w:r w:rsidDel="00000000" w:rsidR="00000000" w:rsidRPr="00000000">
        <w:rPr>
          <w:color w:val="1a1a1a"/>
          <w:rtl w:val="0"/>
        </w:rPr>
        <w:t xml:space="preserve">analyzed</w:t>
      </w:r>
      <w:r w:rsidDel="00000000" w:rsidR="00000000" w:rsidRPr="00000000">
        <w:rPr>
          <w:rFonts w:ascii="Times New Roman" w:cs="Times New Roman" w:eastAsia="Times New Roman" w:hAnsi="Times New Roman"/>
          <w:color w:val="1a1a1a"/>
          <w:sz w:val="24"/>
          <w:szCs w:val="24"/>
          <w:rtl w:val="0"/>
        </w:rPr>
        <w:t xml:space="preserve"> represent a meaningful cross-section of Bangladesh's most commercially significant industries. Each exhibits a distinct financial profile, strategic logic, and risk landscape reflective of its sector. Grameenphone and Square Pharmaceuticals stand apart for their profitability and consistent shareholder returns. BRAC Bank illustrates how digital transformation reshapes financial institutions. LafargeHolcim demonstrates the enduring value of vertical integration in manufacturing. BEXIMCO underlines both the diversification benefits and governance complexities of large emerging-market conglomerates.</w:t>
      </w:r>
      <w:r w:rsidDel="00000000" w:rsidR="00000000" w:rsidRPr="00000000">
        <w:rPr>
          <w:rtl w:val="0"/>
        </w:rPr>
      </w:r>
    </w:p>
    <w:p w:rsidR="00000000" w:rsidDel="00000000" w:rsidP="00000000" w:rsidRDefault="00000000" w:rsidRPr="00000000" w14:paraId="00000124">
      <w:pPr>
        <w:spacing w:after="160" w:line="360" w:lineRule="auto"/>
        <w:jc w:val="both"/>
        <w:rPr/>
      </w:pPr>
      <w:r w:rsidDel="00000000" w:rsidR="00000000" w:rsidRPr="00000000">
        <w:rPr>
          <w:rFonts w:ascii="Times New Roman" w:cs="Times New Roman" w:eastAsia="Times New Roman" w:hAnsi="Times New Roman"/>
          <w:color w:val="1a1a1a"/>
          <w:sz w:val="24"/>
          <w:szCs w:val="24"/>
          <w:rtl w:val="0"/>
        </w:rPr>
        <w:t xml:space="preserve">From a managerial finance perspective, this exercise reinforces the importance of capital structure decisions, dividend policy, and strategic investment allocation in determining long-run firm value. All five firms operate within an evolving regulatory and macroeconomic environment shaped by Bangladesh Bank monetary policy, government capital expenditure cycles, global trade patterns, and the national Smart Bangladesh Vision 2041</w:t>
      </w:r>
      <w:r w:rsidDel="00000000" w:rsidR="00000000" w:rsidRPr="00000000">
        <w:rPr>
          <w:color w:val="1a1a1a"/>
          <w:rtl w:val="0"/>
        </w:rPr>
        <w:t xml:space="preserve">—contextual</w:t>
      </w:r>
      <w:r w:rsidDel="00000000" w:rsidR="00000000" w:rsidRPr="00000000">
        <w:rPr>
          <w:rFonts w:ascii="Times New Roman" w:cs="Times New Roman" w:eastAsia="Times New Roman" w:hAnsi="Times New Roman"/>
          <w:color w:val="1a1a1a"/>
          <w:sz w:val="24"/>
          <w:szCs w:val="24"/>
          <w:rtl w:val="0"/>
        </w:rPr>
        <w:t xml:space="preserve"> forces that are as important to understand as the financial statements themselves.</w:t>
      </w:r>
      <w:r w:rsidDel="00000000" w:rsidR="00000000" w:rsidRPr="00000000">
        <w:rPr>
          <w:rtl w:val="0"/>
        </w:rPr>
      </w:r>
    </w:p>
    <w:sectPr>
      <w:headerReference r:id="rId8" w:type="default"/>
      <w:footerReference r:id="rId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pBdr>
        <w:top w:color="aaaaaa" w:space="2" w:sz="4" w:val="single"/>
      </w:pBdr>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pBdr>
        <w:bottom w:color="aaaaaa" w:space="2" w:sz="4" w:val="single"/>
      </w:pBdr>
      <w:spacing w:after="6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9i1b67LzVQhW3Ef7Y2RpOiQN0w==">CgMxLjA4AHIhMUo2T0IweHJKN2hONENEZktEZTdVaTRwOGdPdGJxU1p2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2026-03-11T06:08:32.727Z</dcterms:created>
  <dc:creator>Un-named</dc:creator>
</cp:coreProperties>
</file>

<file path=docProps/custom.xml><?xml version="1.0" encoding="utf-8"?>
<Properties xmlns="http://schemas.openxmlformats.org/officeDocument/2006/custom-properties" xmlns:vt="http://schemas.openxmlformats.org/officeDocument/2006/docPropsVTypes"/>
</file>