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00" w:before="400"/>
        <w:jc w:val="center"/>
      </w:pPr>
      <w:r>
        <w:rPr>
          <w:rFonts w:ascii="Times New Roman" w:cs="Times New Roman" w:eastAsia="Times New Roman" w:hAnsi="Times New Roman"/>
          <w:b/>
          <w:bCs/>
          <w:sz w:val="28"/>
          <w:szCs w:val="28"/>
        </w:rPr>
        <w:t xml:space="preserve">BRAC University</w:t>
      </w:r>
    </w:p>
    <w:p>
      <w:pPr>
        <w:spacing w:after="60" w:before="60"/>
        <w:jc w:val="center"/>
      </w:pPr>
      <w:r>
        <w:rPr>
          <w:rFonts w:ascii="Times New Roman" w:cs="Times New Roman" w:eastAsia="Times New Roman" w:hAnsi="Times New Roman"/>
          <w:sz w:val="24"/>
          <w:szCs w:val="24"/>
        </w:rPr>
        <w:t xml:space="preserve">MBA Program – Spring 2026</w:t>
      </w:r>
    </w:p>
    <w:p>
      <w:pPr>
        <w:spacing w:after="60"/>
      </w:pPr>
      <w:r>
        <w:t xml:space="preserve"/>
      </w:r>
    </w:p>
    <w:p>
      <w:pPr>
        <w:pBdr>
          <w:bottom w:val="single" w:color="1F3864" w:sz="6" w:space="4"/>
        </w:pBdr>
        <w:spacing w:after="200" w:before="200"/>
        <w:jc w:val="center"/>
      </w:pPr>
      <w:r>
        <w:rPr>
          <w:sz w:val="24"/>
          <w:szCs w:val="24"/>
        </w:rPr>
        <w:t xml:space="preserve"/>
      </w:r>
    </w:p>
    <w:p>
      <w:pPr>
        <w:spacing w:after="100" w:before="280"/>
        <w:jc w:val="center"/>
      </w:pPr>
      <w:r>
        <w:rPr>
          <w:rFonts w:ascii="Times New Roman" w:cs="Times New Roman" w:eastAsia="Times New Roman" w:hAnsi="Times New Roman"/>
          <w:b/>
          <w:bCs/>
          <w:color w:val="1F3864"/>
          <w:sz w:val="26"/>
          <w:szCs w:val="26"/>
        </w:rPr>
        <w:t xml:space="preserve">BUS 526: Financial Systems &amp; Managerial Finance</w:t>
      </w:r>
    </w:p>
    <w:p>
      <w:pPr>
        <w:spacing w:after="400" w:before="100"/>
        <w:jc w:val="center"/>
      </w:pPr>
      <w:r>
        <w:rPr>
          <w:rFonts w:ascii="Times New Roman" w:cs="Times New Roman" w:eastAsia="Times New Roman" w:hAnsi="Times New Roman"/>
          <w:b/>
          <w:bCs/>
          <w:color w:val="2E5096"/>
          <w:sz w:val="36"/>
          <w:szCs w:val="36"/>
        </w:rPr>
        <w:t xml:space="preserve">GROUP TERM PAPER</w:t>
      </w:r>
    </w:p>
    <w:p>
      <w:pPr>
        <w:spacing w:after="60"/>
      </w:pPr>
      <w:r>
        <w:t xml:space="preserve"/>
      </w:r>
    </w:p>
    <w:p>
      <w:pPr>
        <w:spacing w:after="100" w:before="200"/>
        <w:jc w:val="center"/>
      </w:pPr>
      <w:r>
        <w:rPr>
          <w:rFonts w:ascii="Times New Roman" w:cs="Times New Roman" w:eastAsia="Times New Roman" w:hAnsi="Times New Roman"/>
          <w:b/>
          <w:bCs/>
          <w:sz w:val="28"/>
          <w:szCs w:val="28"/>
        </w:rPr>
        <w:t xml:space="preserve">Financial Performance Analysis of</w:t>
      </w:r>
    </w:p>
    <w:p>
      <w:pPr>
        <w:spacing w:after="80" w:before="80"/>
        <w:jc w:val="center"/>
      </w:pPr>
      <w:r>
        <w:rPr>
          <w:rFonts w:ascii="Times New Roman" w:cs="Times New Roman" w:eastAsia="Times New Roman" w:hAnsi="Times New Roman"/>
          <w:b/>
          <w:bCs/>
          <w:color w:val="1F3864"/>
          <w:sz w:val="36"/>
          <w:szCs w:val="36"/>
        </w:rPr>
        <w:t xml:space="preserve">MALEK SPINNING MILLS PLC.</w:t>
      </w:r>
    </w:p>
    <w:p>
      <w:pPr>
        <w:spacing w:after="300" w:before="60"/>
        <w:jc w:val="center"/>
      </w:pPr>
      <w:r>
        <w:rPr>
          <w:rFonts w:ascii="Times New Roman" w:cs="Times New Roman" w:eastAsia="Times New Roman" w:hAnsi="Times New Roman"/>
          <w:i/>
          <w:iCs/>
          <w:sz w:val="24"/>
          <w:szCs w:val="24"/>
        </w:rPr>
        <w:t xml:space="preserve">With Comparative Analysis against Matin Spinning Mills PLC.</w:t>
      </w:r>
    </w:p>
    <w:p>
      <w:pPr>
        <w:spacing w:after="60"/>
      </w:pPr>
      <w:r>
        <w:t xml:space="preserve"/>
      </w:r>
    </w:p>
    <w:p>
      <w:pPr>
        <w:spacing w:after="80" w:before="300"/>
        <w:jc w:val="center"/>
      </w:pPr>
      <w:r>
        <w:rPr>
          <w:rFonts w:ascii="Times New Roman" w:cs="Times New Roman" w:eastAsia="Times New Roman" w:hAnsi="Times New Roman"/>
          <w:b/>
          <w:bCs/>
          <w:sz w:val="24"/>
          <w:szCs w:val="24"/>
        </w:rPr>
        <w:t xml:space="preserve">Submitted to:</w:t>
      </w:r>
    </w:p>
    <w:p>
      <w:pPr>
        <w:spacing w:after="40" w:before="40"/>
        <w:jc w:val="center"/>
      </w:pPr>
      <w:r>
        <w:rPr>
          <w:rFonts w:ascii="Times New Roman" w:cs="Times New Roman" w:eastAsia="Times New Roman" w:hAnsi="Times New Roman"/>
          <w:sz w:val="24"/>
          <w:szCs w:val="24"/>
        </w:rPr>
        <w:t xml:space="preserve">Instructor’s Name</w:t>
      </w:r>
    </w:p>
    <w:p>
      <w:pPr>
        <w:spacing w:after="200" w:before="40"/>
        <w:jc w:val="center"/>
      </w:pPr>
      <w:r>
        <w:rPr>
          <w:rFonts w:ascii="Times New Roman" w:cs="Times New Roman" w:eastAsia="Times New Roman" w:hAnsi="Times New Roman"/>
          <w:sz w:val="24"/>
          <w:szCs w:val="24"/>
        </w:rPr>
        <w:t xml:space="preserve">Department of Business Administration, BRAC University</w:t>
      </w:r>
    </w:p>
    <w:p>
      <w:pPr>
        <w:spacing w:after="60"/>
      </w:pPr>
      <w:r>
        <w:t xml:space="preserve"/>
      </w:r>
    </w:p>
    <w:p>
      <w:pPr>
        <w:spacing w:after="80" w:before="200"/>
        <w:jc w:val="center"/>
      </w:pPr>
      <w:r>
        <w:rPr>
          <w:rFonts w:ascii="Times New Roman" w:cs="Times New Roman" w:eastAsia="Times New Roman" w:hAnsi="Times New Roman"/>
          <w:b/>
          <w:bCs/>
          <w:sz w:val="24"/>
          <w:szCs w:val="24"/>
        </w:rPr>
        <w:t xml:space="preserve">Date of Submission:</w:t>
      </w:r>
    </w:p>
    <w:p>
      <w:pPr>
        <w:spacing w:after="200" w:before="40"/>
        <w:jc w:val="center"/>
      </w:pPr>
      <w:r>
        <w:rPr>
          <w:rFonts w:ascii="Times New Roman" w:cs="Times New Roman" w:eastAsia="Times New Roman" w:hAnsi="Times New Roman"/>
          <w:sz w:val="24"/>
          <w:szCs w:val="24"/>
        </w:rPr>
        <w:t xml:space="preserve">Spring 2026</w:t>
      </w:r>
    </w:p>
    <w:p>
      <w:r>
        <w:br w:type="page"/>
      </w:r>
    </w:p>
    <w:p>
      <w:pPr>
        <w:spacing w:after="200" w:before="200"/>
        <w:jc w:val="center"/>
      </w:pPr>
      <w:r>
        <w:rPr>
          <w:rFonts w:ascii="Times New Roman" w:cs="Times New Roman" w:eastAsia="Times New Roman" w:hAnsi="Times New Roman"/>
          <w:b/>
          <w:bCs/>
          <w:sz w:val="28"/>
          <w:szCs w:val="28"/>
        </w:rPr>
        <w:t xml:space="preserve">GROUP MEMBERS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440"/>
        <w:gridCol w:w="1440"/>
        <w:gridCol w:w="1440"/>
      </w:tblGrid>
      <w:tr>
        <w:tc>
          <w:tcPr>
            <w:tcW w:type="dxa" w:w="2160"/>
            <w:tcBorders>
              <w:top w:val="single" w:color="AAAAAA" w:sz="1"/>
              <w:left w:val="single" w:color="AAAAAA" w:sz="1"/>
              <w:bottom w:val="single" w:color="AAAAAA" w:sz="1"/>
              <w:right w:val="single" w:color="AAAAAA" w:sz="1"/>
            </w:tcBorders>
            <w:shd w:fill="D0DC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Name</w:t>
            </w:r>
          </w:p>
        </w:tc>
        <w:tc>
          <w:tcPr>
            <w:tcW w:type="dxa" w:w="2160"/>
            <w:tcBorders>
              <w:top w:val="single" w:color="AAAAAA" w:sz="1"/>
              <w:left w:val="single" w:color="AAAAAA" w:sz="1"/>
              <w:bottom w:val="single" w:color="AAAAAA" w:sz="1"/>
              <w:right w:val="single" w:color="AAAAAA" w:sz="1"/>
            </w:tcBorders>
            <w:shd w:fill="D0DC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ID</w:t>
            </w:r>
          </w:p>
        </w:tc>
        <w:tc>
          <w:tcPr>
            <w:tcW w:type="dxa" w:w="1440"/>
            <w:tcBorders>
              <w:top w:val="single" w:color="AAAAAA" w:sz="1"/>
              <w:left w:val="single" w:color="AAAAAA" w:sz="1"/>
              <w:bottom w:val="single" w:color="AAAAAA" w:sz="1"/>
              <w:right w:val="single" w:color="AAAAAA" w:sz="1"/>
            </w:tcBorders>
            <w:shd w:fill="D0DC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Semester</w:t>
            </w:r>
          </w:p>
        </w:tc>
        <w:tc>
          <w:tcPr>
            <w:tcW w:type="dxa" w:w="1440"/>
            <w:tcBorders>
              <w:top w:val="single" w:color="AAAAAA" w:sz="1"/>
              <w:left w:val="single" w:color="AAAAAA" w:sz="1"/>
              <w:bottom w:val="single" w:color="AAAAAA" w:sz="1"/>
              <w:right w:val="single" w:color="AAAAAA" w:sz="1"/>
            </w:tcBorders>
            <w:shd w:fill="D0DC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Signature</w:t>
            </w:r>
          </w:p>
        </w:tc>
        <w:tc>
          <w:tcPr>
            <w:tcW w:type="dxa" w:w="1440"/>
            <w:tcBorders>
              <w:top w:val="single" w:color="AAAAAA" w:sz="1"/>
              <w:left w:val="single" w:color="AAAAAA" w:sz="1"/>
              <w:bottom w:val="single" w:color="AAAAAA" w:sz="1"/>
              <w:right w:val="single" w:color="AAAAAA" w:sz="1"/>
            </w:tcBorders>
            <w:shd w:fill="D0DC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Contribution</w:t>
            </w:r>
          </w:p>
        </w:tc>
      </w:tr>
      <w:tr>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Member 1</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[Student ID]</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[Semester]</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Sections 1, 2</w:t>
            </w:r>
          </w:p>
        </w:tc>
      </w:tr>
      <w:tr>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Member 2</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[Student ID]</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[Semester]</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Sections 3, 4</w:t>
            </w:r>
          </w:p>
        </w:tc>
      </w:tr>
      <w:tr>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Member 3</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[Student ID]</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[Semester]</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Sections 5, 6</w:t>
            </w:r>
          </w:p>
        </w:tc>
      </w:tr>
      <w:tr>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Member 4</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[Student ID]</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[Semester]</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Sections 7, 8</w:t>
            </w:r>
          </w:p>
        </w:tc>
      </w:tr>
      <w:tr>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Member 5</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[Student ID]</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[Semester]</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Sections 9, 10</w:t>
            </w:r>
          </w:p>
        </w:tc>
      </w:tr>
    </w:tbl>
    <w:p>
      <w:pPr>
        <w:spacing w:after="60"/>
      </w:pPr>
      <w:r>
        <w:t xml:space="preserve"/>
      </w:r>
    </w:p>
    <w:p>
      <w:pPr>
        <w:spacing w:after="120" w:before="200" w:line="276"/>
        <w:jc w:val="both"/>
      </w:pPr>
      <w:r>
        <w:rPr>
          <w:rFonts w:ascii="Times New Roman" w:cs="Times New Roman" w:eastAsia="Times New Roman" w:hAnsi="Times New Roman"/>
          <w:b w:val="false"/>
          <w:bCs w:val="false"/>
          <w:i w:val="false"/>
          <w:iCs w:val="false"/>
          <w:sz w:val="24"/>
          <w:szCs w:val="24"/>
        </w:rPr>
        <w:t xml:space="preserve">Each group member is expected to contribute to this report as outlined above. Individual contributions reflect actual work performed throughout the research and writing process.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footerReference w:type="default" r:id="rId7"/>
          <w:pgSz w:w="12240" w:h="15840" w:orient="portrait"/>
          <w:pgMar w:top="1440" w:right="1440" w:bottom="1440" w:left="2160" w:header="708" w:footer="708" w:gutter="0"/>
          <w:pgNumType/>
          <w:docGrid w:linePitch="360"/>
        </w:sectPr>
      </w:pPr>
    </w:p>
    <w:p>
      <w:pPr>
        <w:pStyle w:val="Heading1"/>
      </w:pPr>
      <w:r>
        <w:rPr>
          <w:rFonts w:ascii="Times New Roman" w:cs="Times New Roman" w:eastAsia="Times New Roman" w:hAnsi="Times New Roman"/>
          <w:b/>
          <w:bCs/>
          <w:sz w:val="28"/>
          <w:szCs w:val="28"/>
        </w:rPr>
        <w:t xml:space="preserve">Executive Summary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term paper presents a comprehensive financial performance analysis of Malek Spinning Mills PLC. (MALEKSPIN), a publicly listed yarn manufacturing company on the Dhaka Stock Exchange (DSE) and Chittagong Stock Exchange (CSE) in Bangladesh. The analysis covers five consecutive fiscal years from FY2020-21 through FY2024-25, using audited standalone annual reports. A cross-sectional comparative analysis for FY2024-25 is conducted against Matin Spinning Mills PLC. (MATINSPINN), a peer company from the same textile/spinning sector.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demonstrated a volatile but ultimately resilient financial trajectory over the five-year period. The company suffered significant losses in FY2022-23 due to surging raw material costs and energy inflation, reporting a net loss of approximately BDT 499.6 million. However, it made a strong recovery in FY2023-24 and FY2024-25, with net profits of BDT 212.95 million and BDT 233.44 million respectively. Revenue rebounded to BDT 4.64 billion in FY2024-25, reflecting a 24.2% year-over-year increase.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Ratio analysis indicates improving profitability, adequate liquidity, and manageable debt levels, though asset utilization efficiency remains moderate. The DCF-based intrinsic valuation suggests the stock may be significantly undervalued at its current market price of approximately BDT 26.90. Cross-sectional analysis reveals that Matin Spinning Mills demonstrates stronger profitability margins and higher revenue scale, offering useful benchmarking insights. Investors holding MALEKSPIN stock should consider the improving fundamentals against the backdrop of macroeconomic headwinds and potential growth catalysts.</w:t>
      </w:r>
    </w:p>
    <w:p>
      <w:r>
        <w:br w:type="page"/>
      </w:r>
    </w:p>
    <w:p>
      <w:pPr>
        <w:pStyle w:val="Heading1"/>
      </w:pPr>
      <w:r>
        <w:rPr>
          <w:rFonts w:ascii="Times New Roman" w:cs="Times New Roman" w:eastAsia="Times New Roman" w:hAnsi="Times New Roman"/>
          <w:b/>
          <w:bCs/>
          <w:sz w:val="28"/>
          <w:szCs w:val="28"/>
        </w:rPr>
        <w:t xml:space="preserve">1. Introduction</w:t>
      </w:r>
    </w:p>
    <w:p>
      <w:pPr>
        <w:pStyle w:val="Heading2"/>
      </w:pPr>
      <w:r>
        <w:rPr>
          <w:rFonts w:ascii="Times New Roman" w:cs="Times New Roman" w:eastAsia="Times New Roman" w:hAnsi="Times New Roman"/>
          <w:b/>
          <w:bCs/>
          <w:sz w:val="24"/>
          <w:szCs w:val="24"/>
        </w:rPr>
        <w:t xml:space="preserve">1.1 Background of Malek Spinning Mills PLC.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(hereinafter referred to as "MSM" or "the Company") was incorporated with the Registrar of Joint Stock Companies and Firms (RJSC) vide registration no. C-19018 dated 02 November 1989, initially as a Private Limited Company under the Companies Act 1913. The company was subsequently converted into a Public Limited Company in 2008 and became listed on the Dhaka Stock Exchange PLC. and Chittagong Stock Exchange PLC. in 2010 following its Initial Public Offering (IPO).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 operates in the primary textile sector, specializing in the production of high-quality cotton hosiery yarns. The Company's manufacturing facility is located at Shafipur, Kaliakoir, Gazipur, equipped with 59,964 spindles capable of spinning ring-spun, carded, and combed yarn ranging from 18Ne to 50Ne counts. The annual production capacity stands at approximately 12.425 million kilograms. The Company is a 100% export-oriented enterprise using 100% imported US cotton as its primary raw material.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 has three subsidiary companies: (i) Salek Textile Limited – a composite spinning and denim fabric mill with a rotor yarn capacity of 12.07 million kg/year and denim fabric capacity of 18 million yards/year; (ii) J.M. Fabrics Limited – a composite knitting, dyeing, finishing, and garments factory with capacity for 55.33 million pieces per annum; and (iii) Newasia Synthetics Limited – a dormant entity initially promoted for polyester staple fiber, currently on hold. The group is registered with DSE under the ticker symbol "MALEKSPIN" and trades with a face value of BDT 10 per share and an authorized capital of BDT 3,000 million with paid-up capital of BDT 1,936 million comprising 193.6 million shares.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As of June 30, 2025, the Company employed 181 executives/staff and 981 workers at the standalone level, with the consolidated group employing over 1,150 persons. The registered and corporate head office is situated at Tower One One Seven, 117/A, Tejgaon Industrial Area, Dhaka-1208, Bangladesh.</w:t>
      </w:r>
    </w:p>
    <w:p>
      <w:pPr>
        <w:pStyle w:val="Heading2"/>
      </w:pPr>
      <w:r>
        <w:rPr>
          <w:rFonts w:ascii="Times New Roman" w:cs="Times New Roman" w:eastAsia="Times New Roman" w:hAnsi="Times New Roman"/>
          <w:b/>
          <w:bCs/>
          <w:sz w:val="24"/>
          <w:szCs w:val="24"/>
        </w:rPr>
        <w:t xml:space="preserve">1.2 Background of Matin Spinning Mills PLC. (Benchmark Company)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Matin Spinning Mills PLC. (hereinafter "Matin Spinning" or "MSM-PLC") was incorporated in Bangladesh on 15 September 2002 under registration no. C-47083(3562)/2002 and is listed on both the DSE and CSE under the ticker "MATINSPINN." The Company is a concern of DBL Group, one of Bangladesh's largest industrial conglomerates, providing it with strong institutional backing and governance standards.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Matin Spinning manufactures and sells a diverse range of yarn including cotton, viscose, polyester, melange, and their blends. Its product portfolio encompasses carded, combed, slub, synthetic, melange, vortex, open-end, regular, sustainable, blended, injected, neppy, siro, snow, and twist yarns. The manufacturing plant is situated at Sardagonj, Kashimpur, Gazipur – in the same industrial district as Malek Spinning. With total assets of BDT 13.90 billion and revenue of BDT 8.75 billion in FY2024-25, Matin Spinning is significantly larger in scale and financially stronger, making it an ideal benchmark for cross-sectional analysis.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Matin Spinning was selected as the benchmark company for this study because: (i) both companies operate in the same spinning sub-sector under the primary textile industry; (ii) both are listed on the same exchanges and subject to identical regulatory frameworks; (iii) both export their entire production and compete in similar international yarn markets; (iv) both are located in the Gazipur industrial belt; and (v) Matin Spinning is widely regarded as a well-managed peer with strong financial governance by DBL Group, offering a meaningful reference point for evaluating MSM's performance.</w:t>
      </w:r>
    </w:p>
    <w:p>
      <w:r>
        <w:br w:type="page"/>
      </w:r>
    </w:p>
    <w:p>
      <w:pPr>
        <w:pStyle w:val="Heading1"/>
      </w:pPr>
      <w:r>
        <w:rPr>
          <w:rFonts w:ascii="Times New Roman" w:cs="Times New Roman" w:eastAsia="Times New Roman" w:hAnsi="Times New Roman"/>
          <w:b/>
          <w:bCs/>
          <w:sz w:val="28"/>
          <w:szCs w:val="28"/>
        </w:rPr>
        <w:t xml:space="preserve">2. Ratio Analysis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All financial ratios are computed from the audited standalone financial statements of Malek Spinning Mills PLC. covering five consecutive fiscal years (FY2020-21 to FY2024-25). Cross-sectional analysis for FY2024-25 uses the standalone/entity-level statements of both MSM and Matin Spinning Mills PLC. Figures are in Bangladesh Taka (BDT). Ratios are presented in tabular format followed by detailed interpretations.</w:t>
      </w:r>
    </w:p>
    <w:p>
      <w:pPr>
        <w:spacing w:after="60"/>
      </w:pPr>
      <w:r>
        <w:t xml:space="preserve"/>
      </w:r>
    </w:p>
    <w:p>
      <w:pPr>
        <w:pStyle w:val="Heading2"/>
      </w:pPr>
      <w:r>
        <w:rPr>
          <w:rFonts w:ascii="Times New Roman" w:cs="Times New Roman" w:eastAsia="Times New Roman" w:hAnsi="Times New Roman"/>
          <w:b/>
          <w:bCs/>
          <w:sz w:val="24"/>
          <w:szCs w:val="24"/>
        </w:rPr>
        <w:t xml:space="preserve">2.1 Profitability Ratios</w:t>
      </w:r>
    </w:p>
    <w:p>
      <w:pPr>
        <w:spacing w:after="120" w:before="100" w:line="276"/>
        <w:jc w:val="both"/>
      </w:pPr>
      <w:r>
        <w:rPr>
          <w:rFonts w:ascii="Times New Roman" w:cs="Times New Roman" w:eastAsia="Times New Roman" w:hAnsi="Times New Roman"/>
          <w:b w:val="false"/>
          <w:bCs w:val="false"/>
          <w:i w:val="false"/>
          <w:iCs w:val="false"/>
          <w:sz w:val="24"/>
          <w:szCs w:val="24"/>
        </w:rPr>
        <w:t xml:space="preserve">Profitability ratios measure the ability of a firm to generate earnings relative to its revenue, assets, equity, and invested capital. They are central indicators of operational and financial efficiency.</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40"/>
        <w:gridCol w:w="1240"/>
        <w:gridCol w:w="1240"/>
        <w:gridCol w:w="1240"/>
        <w:gridCol w:w="1240"/>
        <w:gridCol w:w="1200"/>
      </w:tblGrid>
      <w:tr>
        <w:tc>
          <w:tcPr>
            <w:tcW w:type="dxa" w:w="24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Ratio</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FY2020-21</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FY2021-22</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FY2022-23</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FY2023-24</w:t>
            </w:r>
          </w:p>
        </w:tc>
        <w:tc>
          <w:tcPr>
            <w:tcW w:type="dxa" w:w="12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FY2024-25</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Gross Profit Margin</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15.15%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10.95%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-7.11%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16.36%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12.81% (calculated)</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Operating Profit Margin</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10.47%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6.94%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-12.05%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7.33%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6.72% (calculated)</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Net Profit Margin</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8.41%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5.98%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-12.99%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5.70%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5.03% (calculated)</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Return on Assets (ROA)</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3.20%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3.07%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-6.30%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2.42%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2.48% (calculated)</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Return on Equity (ROE)</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4.89%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4.72%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-10.40%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4.71%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5.02% (calculated)</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Return on Investment (ROI)</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4.71%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4.53%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-9.34%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3.53%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4.01% (calculated)</w:t>
            </w:r>
          </w:p>
        </w:tc>
      </w:tr>
    </w:tbl>
    <w:p>
      <w:pPr>
        <w:spacing w:after="60"/>
      </w:pPr>
      <w:r>
        <w:t xml:space="preserve"/>
      </w:r>
    </w:p>
    <w:p>
      <w:pPr>
        <w:spacing w:after="60" w:before="60"/>
      </w:pPr>
      <w:r>
        <w:rPr>
          <w:rFonts w:ascii="Times New Roman" w:cs="Times New Roman" w:eastAsia="Times New Roman" w:hAnsi="Times New Roman"/>
          <w:i/>
          <w:iCs/>
          <w:sz w:val="20"/>
          <w:szCs w:val="20"/>
        </w:rPr>
        <w:t xml:space="preserve">Formulas: GPM = Gross Profit / Sales; OPM = Operating Profit / Sales; NPM = Net Profit After Tax / Sales; ROA = NPAT / Average Total Assets; ROE = NPAT / Average Shareholders’ Equity; ROI = NPAT / (Equity + Long-term Debt)</w:t>
      </w:r>
    </w:p>
    <w:p>
      <w:pPr>
        <w:spacing w:after="60"/>
      </w:pPr>
      <w:r>
        <w:t xml:space="preserve"/>
      </w:r>
    </w:p>
    <w:p>
      <w:pPr>
        <w:pStyle w:val="Heading3"/>
      </w:pPr>
      <w:r>
        <w:rPr>
          <w:rFonts w:ascii="Times New Roman" w:cs="Times New Roman" w:eastAsia="Times New Roman" w:hAnsi="Times New Roman"/>
          <w:b/>
          <w:bCs/>
          <w:i/>
          <w:iCs/>
          <w:sz w:val="24"/>
          <w:szCs w:val="24"/>
        </w:rPr>
        <w:t xml:space="preserve">Interpretation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Gross Profit Margin (GPM): MSM's GPM stood at 15.15% in FY2020-21, reflecting reasonable cost management. It declined modestly to 10.94% in FY2021-22 and collapsed to -7.11% in FY2022-23, driven by a catastrophic surge in cotton prices globally and elevated energy costs in Bangladesh following the Russia-Ukraine conflict. This negative gross margin implies that cost of goods sold exceeded revenue, signaling severe input cost pressure. The recovery was swift and strong – GPM rebounded to 16.36% in FY2023-24 as raw material prices normalized and demand improved, and settled at 12.81% in FY2024-25. The FY2024-25 GPM is slightly below the four-year average of the positive years (~14%), reflecting persistent but manageable cost pressures from the additional 20% US tariff on Bangladeshi goods.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Operating Profit Margin (OPM): Following a similar pattern, OPM was 10.47% in FY2020-21 but fell to -12.05% in FY2022-23 as both raw material costs and financial expenses surged simultaneously. The recovery to 7.33% in FY2023-24 and 6.72% in FY2024-25 reflects improved operational discipline and cost control. The positive OPM in recent years indicates the company is generating sufficient operating profit to cover its capital structure obligations.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Net Profit Margin (NPM): MSM posted an NPM of 8.41% in FY2020-21, which compressed to -13.00% in FY2022-23 before recovering to 5.71% in FY2023-24 and 5.03% in FY2024-25. The recovery trajectory is encouraging, though the NPM remains below the pre-crisis levels, partly due to higher tax provisions and a structurally elevated interest expense from expansion-phase borrowings.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Return on Assets (ROA): ROA has been modest throughout, ranging from 2.59% in FY2020-21 to a low of -6.34% in FY2022-23. The FY2024-25 ROA of 2.51% reflects the company's large and capital-intensive asset base. Significant capital work-in-progress (BDT 42 million in FY2024-25 standalone) and investment in subsidiaries (BDT 1.825 billion) dilute standalone asset productivity. As new capacity comes online and generates revenue, ROA is expected to improve.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Return on Equity (ROE): ROE followed a similar volatile path, recovering to 5.00% in FY2024-25 from -10.77% in FY2022-23. While positive and improving, the 5% ROE remains below the cost of equity for a company of this risk profile in Bangladesh, suggesting shareholders are not yet earning returns commensurate with the equity risk. The FY2024-25 ROE of 5.00% is below the benchmark Matin Spinning's ROE of 7.29% (estimated), indicating MSM still lags in shareholder value generation.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Return on Investment (ROI): ROI measures the return on total invested capital (equity plus long-term debt). MSM's ROI improved from 4.69% in FY2020-21 to 4.35% in FY2024-25 on a relatively stable trajectory, suggesting the long-term capital deployed is generating reasonable but not exceptional returns. The FY2022-23 negative ROI (-8.83%) was an anomaly driven by the input cost crisis.</w:t>
      </w:r>
    </w:p>
    <w:p>
      <w:pPr>
        <w:spacing w:after="60"/>
      </w:pPr>
      <w:r>
        <w:t xml:space="preserve"/>
      </w:r>
    </w:p>
    <w:p>
      <w:pPr>
        <w:pStyle w:val="Heading2"/>
      </w:pPr>
      <w:r>
        <w:rPr>
          <w:rFonts w:ascii="Times New Roman" w:cs="Times New Roman" w:eastAsia="Times New Roman" w:hAnsi="Times New Roman"/>
          <w:b/>
          <w:bCs/>
          <w:sz w:val="24"/>
          <w:szCs w:val="24"/>
        </w:rPr>
        <w:t xml:space="preserve">2.2 Asset Management Ratios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Asset management (activity) ratios evaluate how efficiently a company manages and deploys its assets to generate revenue.</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40"/>
        <w:gridCol w:w="1240"/>
        <w:gridCol w:w="1240"/>
        <w:gridCol w:w="1240"/>
        <w:gridCol w:w="1240"/>
        <w:gridCol w:w="1200"/>
      </w:tblGrid>
      <w:tr>
        <w:tc>
          <w:tcPr>
            <w:tcW w:type="dxa" w:w="24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Ratio</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FY2020-21</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FY2021-22</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FY2022-23</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FY2023-24</w:t>
            </w:r>
          </w:p>
        </w:tc>
        <w:tc>
          <w:tcPr>
            <w:tcW w:type="dxa" w:w="12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FY2024-25</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Avg. Collection Period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153.2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119.3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110.2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106.0 days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80.9 days</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Avg. Payment Period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241.9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171.5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113.8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251.6 days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167.8 days</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Inventory Turnover (times)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1.15x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1.99x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1.90x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0.91x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1.29x (calculated)</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Fixed Asset Turnover (times)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1.39x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1.52x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1.56x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1.30x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1.65x (calculated)</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Total Asset Turnover (times)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0.38x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0.51x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0.49x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0.39x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0.51x (calculated)</w:t>
            </w:r>
          </w:p>
        </w:tc>
      </w:tr>
    </w:tbl>
    <w:p>
      <w:pPr>
        <w:spacing w:after="60"/>
      </w:pPr>
      <w:r>
        <w:t xml:space="preserve"/>
      </w:r>
    </w:p>
    <w:p>
      <w:pPr>
        <w:spacing w:after="60" w:before="60"/>
      </w:pPr>
      <w:r>
        <w:rPr>
          <w:rFonts w:ascii="Times New Roman" w:cs="Times New Roman" w:eastAsia="Times New Roman" w:hAnsi="Times New Roman"/>
          <w:i/>
          <w:iCs/>
          <w:sz w:val="20"/>
          <w:szCs w:val="20"/>
        </w:rPr>
        <w:t xml:space="preserve">Formulas: ACP = (Receivables / Sales) × 365; APP = (Payables / COGS) × 365; ITO = COGS / Inventories; FATO = Sales / Net Fixed Assets; TATO = Sales / Total Assets</w:t>
      </w:r>
    </w:p>
    <w:p>
      <w:pPr>
        <w:spacing w:after="60"/>
      </w:pPr>
      <w:r>
        <w:t xml:space="preserve"/>
      </w:r>
    </w:p>
    <w:p>
      <w:pPr>
        <w:pStyle w:val="Heading3"/>
      </w:pPr>
      <w:r>
        <w:rPr>
          <w:rFonts w:ascii="Times New Roman" w:cs="Times New Roman" w:eastAsia="Times New Roman" w:hAnsi="Times New Roman"/>
          <w:b/>
          <w:bCs/>
          <w:i/>
          <w:iCs/>
          <w:sz w:val="24"/>
          <w:szCs w:val="24"/>
        </w:rPr>
        <w:t xml:space="preserve">Interpretation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Average Collection Period (ACP): MSM's average collection period was approximately 153.2 days in FY2020-21, which is characteristic of the Bangladeshi export textile sector where deferred LC payment terms of 90–120 days are standard. The ACP improved significantly to 119.0 days in FY2021-22 and further to 110.2 days in FY2022-23, reflecting tighter credit management. However, it spiked to 106.0 days in FY2023-24 before improving to 80.9 days in FY2024-25 – the best in the five-year period. This sharp improvement in FY2024-25 signals accelerated cash realization from exports, which is a positive indicator of receivables management. Note that for a company exporting under confirmed L/Cs with 120-day deferred terms, an ACP below 100 days is commendable.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Average Payment Period (APP): The average payment period has been elevated throughout, reflecting the company's use of credit from suppliers and acceptance liabilities. In FY2024-25, the APP stands at approximately 71.8 days, down from over 140 days in FY2020-21. This contraction reflects both improved cash flow and a shift in the company's payment strategy. A lower APP compared to the ACP indicates the company collects receivables faster than it pays payables, which is favorable for working capital management.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Inventory Turnover Ratio (ITO): MSM's inventory turnover improved from 1.15x in FY2020-21 to 1.29x in FY2024-25, indicating that inventory cycles approximately every 283 days. This slow turnover is typical of spinning mills that maintain large raw material buffers (cotton, stored for seasonal availability) and work-in-process. The FY2024-25 ITO of 1.29x suggests slight improvement, though the company carries significant raw material (BDT 3.13 billion standalone), reflecting strategic inventory accumulation given import dependency.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Fixed Asset Turnover (FATO): FATO improved from 1.39x in FY2020-21 to 1.65x in FY2024-25, indicating improved utilization of the fixed asset base. The FY2021-22 FATO of 1.52x dropped during the loss year of FY2022-23 as revenue declined while the asset base remained stable. The recovery to 1.65x in FY2024-25 reflects better capacity utilization – confirmed by management's disclosure of 85.31% capacity utilization in FY2024-25 vs 75.72% in FY2023-24.</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Total Asset Turnover (TATO): Overall asset turnover declined from 0.38x in FY2020-21 to 0.51x in FY2024-25. The low TATO reflects the capital-intensive nature of the spinning business and the large proportion of assets tied up in investment in subsidiaries (BDT 1.83 billion) that generate no direct revenue at the standalone level. Excluding investment in subsidiaries, the operational asset base generates a higher effective TATO.</w:t>
      </w:r>
    </w:p>
    <w:p>
      <w:pPr>
        <w:spacing w:after="60"/>
      </w:pPr>
      <w:r>
        <w:t xml:space="preserve"/>
      </w:r>
    </w:p>
    <w:p>
      <w:pPr>
        <w:pStyle w:val="Heading2"/>
      </w:pPr>
      <w:r>
        <w:rPr>
          <w:rFonts w:ascii="Times New Roman" w:cs="Times New Roman" w:eastAsia="Times New Roman" w:hAnsi="Times New Roman"/>
          <w:b/>
          <w:bCs/>
          <w:sz w:val="24"/>
          <w:szCs w:val="24"/>
        </w:rPr>
        <w:t xml:space="preserve">2.3 Liquidity Ratios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Liquidity ratios measure the company's ability to meet its short-term obligations as they fall due.</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40"/>
        <w:gridCol w:w="1240"/>
        <w:gridCol w:w="1240"/>
        <w:gridCol w:w="1240"/>
        <w:gridCol w:w="1240"/>
        <w:gridCol w:w="1200"/>
      </w:tblGrid>
      <w:tr>
        <w:tc>
          <w:tcPr>
            <w:tcW w:type="dxa" w:w="24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Ratio</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FY2020-21</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FY2021-22</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FY2022-23</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FY2023-24</w:t>
            </w:r>
          </w:p>
        </w:tc>
        <w:tc>
          <w:tcPr>
            <w:tcW w:type="dxa" w:w="12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FY2024-25</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Current Ratio (times)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1.72x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1.67x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1.65x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1.47x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1.46x (calculated)</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Quick Ratio (times)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0.74x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0.90x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0.71x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0.45x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0.44x (calculated)</w:t>
            </w:r>
          </w:p>
        </w:tc>
      </w:tr>
    </w:tbl>
    <w:p>
      <w:pPr>
        <w:spacing w:after="60"/>
      </w:pPr>
      <w:r>
        <w:t xml:space="preserve"/>
      </w:r>
    </w:p>
    <w:p>
      <w:pPr>
        <w:spacing w:after="60" w:before="60"/>
      </w:pPr>
      <w:r>
        <w:rPr>
          <w:rFonts w:ascii="Times New Roman" w:cs="Times New Roman" w:eastAsia="Times New Roman" w:hAnsi="Times New Roman"/>
          <w:i/>
          <w:iCs/>
          <w:sz w:val="20"/>
          <w:szCs w:val="20"/>
        </w:rPr>
        <w:t xml:space="preserve">Formulas: Current Ratio = Current Assets / Current Liabilities; Quick Ratio = (Current Assets − Inventories) / Current Liabilities</w:t>
      </w:r>
    </w:p>
    <w:p>
      <w:pPr>
        <w:spacing w:after="60"/>
      </w:pPr>
      <w:r>
        <w:t xml:space="preserve"/>
      </w:r>
    </w:p>
    <w:p>
      <w:pPr>
        <w:pStyle w:val="Heading3"/>
      </w:pPr>
      <w:r>
        <w:rPr>
          <w:rFonts w:ascii="Times New Roman" w:cs="Times New Roman" w:eastAsia="Times New Roman" w:hAnsi="Times New Roman"/>
          <w:b/>
          <w:bCs/>
          <w:i/>
          <w:iCs/>
          <w:sz w:val="24"/>
          <w:szCs w:val="24"/>
        </w:rPr>
        <w:t xml:space="preserve">Interpretation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Current Ratio: MSM's current ratio has remained consistently above 1.0 throughout the five-year period, ranging from a high of 1.72x in FY2020-21 to 1.46x in FY2024-25. This is in line with the five-year data reported in the annual reports. A current ratio above 1.0 indicates that the Company can cover its short-term obligations with its current assets, which is reassuring from a liquidity standpoint. The slight decline from FY2020-21 to FY2024-25 reflects the growth in short-term borrowings and acceptance liabilities as the business expanded, but the ratio remains comfortably above the minimum threshold of 1.0. The FY2022-23 ratio of 1.65x was maintained despite the loss year, as the company managed its working capital carefully.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Quick Ratio: The quick ratio, which excludes inventories (the least liquid current asset), paints a more nuanced picture. The quick ratio improved from 0.75x in FY2020-21 to 0.44x in FY2024-25. The decline reflects the growing proportion of inventories in current assets. In FY2024-25, inventories constitute 69.8% of current assets, leaving a relatively thin non-inventory current asset buffer. A quick ratio below 1.0 indicates that if the company were required to pay all current liabilities immediately, it would need to liquidate inventory, which is not uncommon for manufacturing firms with large raw material holdings. The quick ratio of 0.44x warrants monitoring but is not alarming given the export L/C security and predictable receivables structure of the business.</w:t>
      </w:r>
    </w:p>
    <w:p>
      <w:pPr>
        <w:spacing w:after="60"/>
      </w:pPr>
      <w:r>
        <w:t xml:space="preserve"/>
      </w:r>
    </w:p>
    <w:p>
      <w:pPr>
        <w:pStyle w:val="Heading2"/>
      </w:pPr>
      <w:r>
        <w:rPr>
          <w:rFonts w:ascii="Times New Roman" w:cs="Times New Roman" w:eastAsia="Times New Roman" w:hAnsi="Times New Roman"/>
          <w:b/>
          <w:bCs/>
          <w:sz w:val="24"/>
          <w:szCs w:val="24"/>
        </w:rPr>
        <w:t xml:space="preserve">2.4 Debt Management Ratios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Debt management ratios assess the extent to which a company uses debt in its capital structure and its ability to service debt obligations.</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40"/>
        <w:gridCol w:w="1240"/>
        <w:gridCol w:w="1240"/>
        <w:gridCol w:w="1240"/>
        <w:gridCol w:w="1240"/>
        <w:gridCol w:w="1200"/>
      </w:tblGrid>
      <w:tr>
        <w:tc>
          <w:tcPr>
            <w:tcW w:type="dxa" w:w="24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Ratio</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FY2020-21</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FY2021-22</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FY2022-23</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FY2023-24</w:t>
            </w:r>
          </w:p>
        </w:tc>
        <w:tc>
          <w:tcPr>
            <w:tcW w:type="dxa" w:w="12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FY2024-25</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Debt-to-Asset Ratio</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34.57%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35.11%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43.71%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52.57%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48.47% (calculated)</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Times Interest Earned (TIE)</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7.28x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1.81x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0.04x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2.08x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2.16x (calculated)</w:t>
            </w:r>
          </w:p>
        </w:tc>
      </w:tr>
    </w:tbl>
    <w:p>
      <w:pPr>
        <w:spacing w:after="60"/>
      </w:pPr>
      <w:r>
        <w:t xml:space="preserve"/>
      </w:r>
    </w:p>
    <w:p>
      <w:pPr>
        <w:spacing w:after="60" w:before="60"/>
      </w:pPr>
      <w:r>
        <w:rPr>
          <w:rFonts w:ascii="Times New Roman" w:cs="Times New Roman" w:eastAsia="Times New Roman" w:hAnsi="Times New Roman"/>
          <w:i/>
          <w:iCs/>
          <w:sz w:val="20"/>
          <w:szCs w:val="20"/>
        </w:rPr>
        <w:t xml:space="preserve">Formulas: Debt-to-Asset Ratio = Total Liabilities / Total Assets; TIE = (Operating Profit + Financial Expenses) / Financial Expenses</w:t>
      </w:r>
    </w:p>
    <w:p>
      <w:pPr>
        <w:spacing w:after="60"/>
      </w:pPr>
      <w:r>
        <w:t xml:space="preserve"/>
      </w:r>
    </w:p>
    <w:p>
      <w:pPr>
        <w:pStyle w:val="Heading3"/>
      </w:pPr>
      <w:r>
        <w:rPr>
          <w:rFonts w:ascii="Times New Roman" w:cs="Times New Roman" w:eastAsia="Times New Roman" w:hAnsi="Times New Roman"/>
          <w:b/>
          <w:bCs/>
          <w:i/>
          <w:iCs/>
          <w:sz w:val="24"/>
          <w:szCs w:val="24"/>
        </w:rPr>
        <w:t xml:space="preserve">Interpretation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Debt-to-Asset Ratio: MSM's debt-to-asset ratio has been rising over the five-year period, from 34.51% in FY2020-21 to 48.45% in FY2024-25. This increase reflects the company's strategic expansion through debt financing – particularly the substantial growth in acceptance liabilities, short-term bank loans, and long-term term loans taken to fund capacity expansion (capital work-in-progress of BDT 42 million standalone in FY2024-25). At 48.45%, slightly below the 50% threshold, the company's asset base is still predominantly equity-financed. However, the upward trend warrants attention. The FY2022-23 ratio of 43.68% appears anomalous as total assets were lower that year due to asset restructuring, but the Company was able to manage its debt profile efficiently throughout the crisis period.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Times Interest Earned (TIE): The TIE ratio measures how many times the company can cover its interest payments from operating earnings. MSM's TIE improved from 7.28x in FY2020-21 to a concerning -0.36x in FY2022-23, when operating losses rendered the company unable to cover interest from operations. This ratio recovered strongly to 1.91x in FY2023-24 and 2.16x in FY2024-25. A TIE above 2.0x in FY2024-25 indicates that the company can cover its interest obligations approximately twice from operating earnings, which is adequate but tight. Creditors typically prefer TIE ratios above 3.0x; the company needs continued improvement in operating profitability to strengthen this coverage ratio.</w:t>
      </w:r>
    </w:p>
    <w:p>
      <w:pPr>
        <w:spacing w:after="60"/>
      </w:pPr>
      <w:r>
        <w:t xml:space="preserve"/>
      </w:r>
    </w:p>
    <w:p>
      <w:pPr>
        <w:pStyle w:val="Heading2"/>
      </w:pPr>
      <w:r>
        <w:rPr>
          <w:rFonts w:ascii="Times New Roman" w:cs="Times New Roman" w:eastAsia="Times New Roman" w:hAnsi="Times New Roman"/>
          <w:b/>
          <w:bCs/>
          <w:sz w:val="24"/>
          <w:szCs w:val="24"/>
        </w:rPr>
        <w:t xml:space="preserve">2.5 Market Ratios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Market ratios relate the company's market valuation to its earnings and book value, reflecting investor sentiment.</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40"/>
        <w:gridCol w:w="1240"/>
        <w:gridCol w:w="1240"/>
        <w:gridCol w:w="1240"/>
        <w:gridCol w:w="1240"/>
        <w:gridCol w:w="1200"/>
      </w:tblGrid>
      <w:tr>
        <w:tc>
          <w:tcPr>
            <w:tcW w:type="dxa" w:w="24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Ratio</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FY2020-21</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FY2021-22</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FY2022-23</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FY2023-24</w:t>
            </w:r>
          </w:p>
        </w:tc>
        <w:tc>
          <w:tcPr>
            <w:tcW w:type="dxa" w:w="12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FY2024-25</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Earnings Per Share (BDT)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1.29</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1.25</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-2.58</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1.10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1.21</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Market Price (BDT) [Year-end]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29.20</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40.50</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24.10</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23.70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26.90</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P/E Ratio (times)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22.64x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32.40x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N/A</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21.55x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22.23x (calculated)</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NAV Per Share (BDT)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26.42</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26.60</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23.02</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23.70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24.38</w:t>
            </w:r>
          </w:p>
        </w:tc>
      </w:tr>
    </w:tbl>
    <w:p>
      <w:pPr>
        <w:spacing w:after="60"/>
      </w:pPr>
      <w:r>
        <w:t xml:space="preserve"/>
      </w:r>
    </w:p>
    <w:p>
      <w:pPr>
        <w:spacing w:after="60" w:before="60"/>
      </w:pPr>
      <w:r>
        <w:rPr>
          <w:rFonts w:ascii="Times New Roman" w:cs="Times New Roman" w:eastAsia="Times New Roman" w:hAnsi="Times New Roman"/>
          <w:i/>
          <w:iCs/>
          <w:sz w:val="20"/>
          <w:szCs w:val="20"/>
        </w:rPr>
        <w:t xml:space="preserve">Notes: EPS from standalone financial statements (BDT 10 par value, 193.6 million shares); Market prices are approximate year-end closing prices from DSE; P/E = Market Price / EPS; NAV = Shareholders’ Equity / Number of Shares. FY2022-23 P/E not computed due to negative EPS.</w:t>
      </w:r>
    </w:p>
    <w:p>
      <w:pPr>
        <w:spacing w:after="60"/>
      </w:pPr>
      <w:r>
        <w:t xml:space="preserve"/>
      </w:r>
    </w:p>
    <w:p>
      <w:pPr>
        <w:pStyle w:val="Heading3"/>
      </w:pPr>
      <w:r>
        <w:rPr>
          <w:rFonts w:ascii="Times New Roman" w:cs="Times New Roman" w:eastAsia="Times New Roman" w:hAnsi="Times New Roman"/>
          <w:b/>
          <w:bCs/>
          <w:i/>
          <w:iCs/>
          <w:sz w:val="24"/>
          <w:szCs w:val="24"/>
        </w:rPr>
        <w:t xml:space="preserve">Interpretation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Earnings Per Share (EPS): MSM's standalone EPS followed a volatile trajectory, from BDT 1.29 in FY2020-21, declining to BDT 1.25 in FY2021-22, plummeting to BDT (2.58) in FY2022-23 (a loss year), recovering to BDT 1.10 in FY2023-24, and improving to BDT 1.21 in FY2024-25. The EPS growth of ~10% year-on-year from FY2023-24 to FY2024-25 reflects the improving earnings trend. It is important to note that at the consolidated level, EPS was significantly higher at BDT 7.41 in FY2024-25 (193.6 million shares), which reflects the Group's aggregate profitability including subsidiary contributions.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P/E Ratio: The P/E ratio based on standalone EPS is approximately 22.2x in FY2024-25 (BDT 26.90 market price / BDT 1.21 standalone EPS). However, using the consolidated EPS of BDT 7.41, the P/E ratio is approximately 3.63x, which is extremely low by any standard, reflecting deep market undervaluation relative to the consolidated earnings power. The P/E based on trailing twelve months (TTM) from market data sources shows approximately 3.76x, confirming the consolidated-basis valuation. The broader DSE market P/E is around 17.7x, meaning MALEKSPIN trades at a massive discount of approximately 79% to the market multiple. This suggests the market has not fully appreciated the consolidated earnings recovery, or the stock suffers from low liquidity and institutional attention.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NAV Per Share: The book value per share (NAV) has increased from BDT 26.42 in FY2020-21 to BDT 24.38 in FY2024-25 at standalone level. The market price of BDT 26.90 is trading above the standalone NAV of BDT 24.38, implying a modest Price-to-Book (P/B) of 1.10x. However, the consolidated NAV per share was BDT 60.63 in FY2024-25 (using 193.6 million shares), meaning the stock trades at only 0.44x consolidated book value – a significant discount to book, further supporting the undervaluation thesis.</w:t>
      </w:r>
    </w:p>
    <w:p>
      <w:pPr>
        <w:spacing w:after="60"/>
      </w:pPr>
      <w:r>
        <w:t xml:space="preserve"/>
      </w:r>
    </w:p>
    <w:p>
      <w:pPr>
        <w:pStyle w:val="Heading2"/>
      </w:pPr>
      <w:r>
        <w:rPr>
          <w:rFonts w:ascii="Times New Roman" w:cs="Times New Roman" w:eastAsia="Times New Roman" w:hAnsi="Times New Roman"/>
          <w:b/>
          <w:bCs/>
          <w:sz w:val="24"/>
          <w:szCs w:val="24"/>
        </w:rPr>
        <w:t xml:space="preserve">2.6 DuPont Analysis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DuPont framework decomposes Return on Equity into three key drivers: Net Profit Margin (efficiency), Total Asset Turnover (utilization), and Equity Multiplier (leverage). This provides deeper insight into the sources of ROE.</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40"/>
        <w:gridCol w:w="1240"/>
        <w:gridCol w:w="1240"/>
        <w:gridCol w:w="1240"/>
        <w:gridCol w:w="1240"/>
        <w:gridCol w:w="1200"/>
      </w:tblGrid>
      <w:tr>
        <w:tc>
          <w:tcPr>
            <w:tcW w:type="dxa" w:w="24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Component</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FY2020-21</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FY2021-22</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FY2022-23</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FY2023-24</w:t>
            </w:r>
          </w:p>
        </w:tc>
        <w:tc>
          <w:tcPr>
            <w:tcW w:type="dxa" w:w="12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FY2024-25</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Net Profit Margin</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8.41%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5.98%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-12.99%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5.70%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5.03% (calculated)</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Asset Turnover (x)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0.38x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0.51x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0.49x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0.39x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0.51x (calculated)</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Equity Multiplier (x)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1.53x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1.54x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1.78x (calculated)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2.11x (calculated)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1.94x (calculated)</w:t>
            </w:r>
          </w:p>
        </w:tc>
      </w:tr>
      <w:tr>
        <w:tc>
          <w:tcPr>
            <w:tcW w:type="dxa" w:w="244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DuPont ROA</w:t>
            </w:r>
          </w:p>
        </w:tc>
        <w:tc>
          <w:tcPr>
            <w:tcW w:type="dxa" w:w="124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r>
              <w:t>3.20% (calculated)</w:t>
            </w:r>
          </w:p>
        </w:tc>
        <w:tc>
          <w:tcPr>
            <w:tcW w:type="dxa" w:w="124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r>
              <w:t>3.05% (calculated)</w:t>
            </w:r>
          </w:p>
        </w:tc>
        <w:tc>
          <w:tcPr>
            <w:tcW w:type="dxa" w:w="124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r>
              <w:t>-6.31% (calculated)</w:t>
            </w:r>
          </w:p>
        </w:tc>
        <w:tc>
          <w:tcPr>
            <w:tcW w:type="dxa" w:w="124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r>
              <w:t>2.20% (calculated)</w:t>
            </w:r>
          </w:p>
        </w:tc>
        <w:tc>
          <w:tcPr>
            <w:tcW w:type="dxa" w:w="120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r>
              <w:t>2.55% (calculated)</w:t>
            </w:r>
          </w:p>
        </w:tc>
      </w:tr>
      <w:tr>
        <w:tc>
          <w:tcPr>
            <w:tcW w:type="dxa" w:w="244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DuPont ROE</w:t>
            </w:r>
          </w:p>
        </w:tc>
        <w:tc>
          <w:tcPr>
            <w:tcW w:type="dxa" w:w="124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r>
              <w:t>4.89% (calculated)</w:t>
            </w:r>
          </w:p>
        </w:tc>
        <w:tc>
          <w:tcPr>
            <w:tcW w:type="dxa" w:w="124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r>
              <w:t>4.70% (calculated)</w:t>
            </w:r>
          </w:p>
        </w:tc>
        <w:tc>
          <w:tcPr>
            <w:tcW w:type="dxa" w:w="124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r>
              <w:t>-11.21% (calculated)</w:t>
            </w:r>
          </w:p>
        </w:tc>
        <w:tc>
          <w:tcPr>
            <w:tcW w:type="dxa" w:w="124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r>
              <w:t>4.64% (calculated)</w:t>
            </w:r>
          </w:p>
        </w:tc>
        <w:tc>
          <w:tcPr>
            <w:tcW w:type="dxa" w:w="120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r>
              <w:t>4.95% (calculated)</w:t>
            </w:r>
          </w:p>
        </w:tc>
      </w:tr>
    </w:tbl>
    <w:p>
      <w:pPr>
        <w:spacing w:after="60"/>
      </w:pPr>
      <w:r>
        <w:t xml:space="preserve"/>
      </w:r>
    </w:p>
    <w:p>
      <w:pPr>
        <w:spacing w:after="60" w:before="60"/>
      </w:pPr>
      <w:r>
        <w:rPr>
          <w:rFonts w:ascii="Times New Roman" w:cs="Times New Roman" w:eastAsia="Times New Roman" w:hAnsi="Times New Roman"/>
          <w:i/>
          <w:iCs/>
          <w:sz w:val="20"/>
          <w:szCs w:val="20"/>
        </w:rPr>
        <w:t xml:space="preserve">DuPont ROA = Net Profit Margin × Asset Turnover; DuPont ROE = DuPont ROA × Equity Multiplier</w:t>
      </w:r>
    </w:p>
    <w:p>
      <w:pPr>
        <w:spacing w:after="60"/>
      </w:pPr>
      <w:r>
        <w:t xml:space="preserve"/>
      </w:r>
    </w:p>
    <w:p>
      <w:pPr>
        <w:pStyle w:val="Heading3"/>
      </w:pPr>
      <w:r>
        <w:rPr>
          <w:rFonts w:ascii="Times New Roman" w:cs="Times New Roman" w:eastAsia="Times New Roman" w:hAnsi="Times New Roman"/>
          <w:b/>
          <w:bCs/>
          <w:i/>
          <w:iCs/>
          <w:sz w:val="24"/>
          <w:szCs w:val="24"/>
        </w:rPr>
        <w:t xml:space="preserve">Interpretation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DuPont decomposition reveals distinct sources of MSM's return performance. In FY2020-21, the ROE of 4.96% was primarily driven by a modest net profit margin (8.41%) and an equity multiplier of 1.53x, with a low asset turnover (0.38x). The equity multiplier has been rising consistently from 1.53x in FY2020-21 to 1.94x in FY2024-25, indicating growing financial leverage, which amplifies returns but also magnifies risk.</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FY2022-23 period shows the impact of negative margin (-13.00%) on all derived return metrics, underscoring that margin is the most volatile and impactful driver for MSM. In FY2024-25, the ROE of 5.00% results from a 5.03% margin, a 0.51x asset turnover, and a 1.94x equity multiplier. Notably, the equity multiplier is the only structural driver that has consistently improved, while asset turnover and margins have been volatile. For MSM to improve ROE toward its peer benchmark, the primary lever must be margin expansion (through better cost management and higher-value yarn mix) and improved asset utilization (through full capacity utilization of new machinery installed).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DuPont analysis also highlights that MSM's ROA (2.51% in FY2024-25) is significantly below the ROA implied by a target ROE of 15% with current leverage, meaning the company needs both stronger profitability and better asset productivity to create meaningful shareholder value.</w:t>
      </w:r>
    </w:p>
    <w:p>
      <w:r>
        <w:br w:type="page"/>
      </w:r>
    </w:p>
    <w:p>
      <w:pPr>
        <w:pStyle w:val="Heading1"/>
      </w:pPr>
      <w:r>
        <w:rPr>
          <w:rFonts w:ascii="Times New Roman" w:cs="Times New Roman" w:eastAsia="Times New Roman" w:hAnsi="Times New Roman"/>
          <w:b/>
          <w:bCs/>
          <w:sz w:val="28"/>
          <w:szCs w:val="28"/>
        </w:rPr>
        <w:t xml:space="preserve">3. Cross-Sectional Analysis – FY2024-25</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section compares the financial performance of Malek Spinning Mills PLC. (MSM) with Matin Spinning Mills PLC. (MATIN) for the most recent fiscal year FY2024-25. Both companies operate in the spinning sector under Bangladesh's primary textile industry.</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40"/>
        <w:gridCol w:w="2800"/>
        <w:gridCol w:w="2800"/>
      </w:tblGrid>
      <w:tr>
        <w:tc>
          <w:tcPr>
            <w:tcW w:type="dxa" w:w="30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Ratio</w:t>
            </w:r>
          </w:p>
        </w:tc>
        <w:tc>
          <w:tcPr>
            <w:tcW w:type="dxa" w:w="28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Malek Spinning (MSM)</w:t>
            </w:r>
          </w:p>
        </w:tc>
        <w:tc>
          <w:tcPr>
            <w:tcW w:type="dxa" w:w="28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Matin Spinning</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Gross Profit Margin</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12.81% (calculated)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14.99% (calculated)</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Net Profit Margin</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5.03% (calculated)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5.23% (calculated)</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Return on Assets (ROA)</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2.55% (calculated)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3.30% (calculated)</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Return on Equity (ROE)</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4.95% (calculated)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6.72% (calculated)</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Current Ratio</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1.46x (calculated)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1.12x (calculated)</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Quick Ratio</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0.44x (calculated)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0.69x (calculated)</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Debt-to-Asset Ratio</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48.47% (calculated)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50.97% (calculated)</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Inventory Turnover (times)</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1.29x (calculated)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2.87x (calculated)</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Total Asset Turnover (times)</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0.51x (calculated)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0.63x (calculated)</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EPS (BDT) (calculated)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1.21</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4.70</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Market Price (BDT) (calculated)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26.90</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45.30</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P/E Ratio (times)</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22.23x (calculated)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9.64x (calculated)</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Revenue (BDT Billion) (calculated)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4.64</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8.75</w:t>
            </w:r>
          </w:p>
        </w:tc>
      </w:tr>
    </w:tbl>
    <w:p>
      <w:pPr>
        <w:spacing w:after="60"/>
      </w:pPr>
      <w:r>
        <w:t xml:space="preserve"/>
      </w:r>
    </w:p>
    <w:p>
      <w:pPr>
        <w:spacing w:after="60" w:before="60"/>
      </w:pPr>
      <w:r>
        <w:rPr>
          <w:rFonts w:ascii="Times New Roman" w:cs="Times New Roman" w:eastAsia="Times New Roman" w:hAnsi="Times New Roman"/>
          <w:i/>
          <w:iCs/>
          <w:sz w:val="20"/>
          <w:szCs w:val="20"/>
        </w:rPr>
        <w:t xml:space="preserve">Note: MSM figures are from standalone financial statements. Matin Spinning figures are from entity-level standalone financial statements. Market prices are approximate year-end values at DSE.</w:t>
      </w:r>
    </w:p>
    <w:p>
      <w:r>
        <w:br w:type="page"/>
      </w:r>
    </w:p>
    <w:p>
      <w:pPr>
        <w:pStyle w:val="Heading1"/>
      </w:pPr>
      <w:r>
        <w:rPr>
          <w:rFonts w:ascii="Times New Roman" w:cs="Times New Roman" w:eastAsia="Times New Roman" w:hAnsi="Times New Roman"/>
          <w:b/>
          <w:bCs/>
          <w:sz w:val="28"/>
          <w:szCs w:val="28"/>
        </w:rPr>
        <w:t xml:space="preserve">4. Valuation – DCF Model</w:t>
      </w:r>
    </w:p>
    <w:p>
      <w:pPr>
        <w:pStyle w:val="Heading2"/>
      </w:pPr>
      <w:r>
        <w:rPr>
          <w:rFonts w:ascii="Times New Roman" w:cs="Times New Roman" w:eastAsia="Times New Roman" w:hAnsi="Times New Roman"/>
          <w:b/>
          <w:bCs/>
          <w:sz w:val="24"/>
          <w:szCs w:val="24"/>
        </w:rPr>
        <w:t xml:space="preserve">4.1 Methodology and Assumptions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Discounted Cash Flow (DCF) model values Malek Spinning Mills PLC. on the basis of its standalone free cash flows. We use the Net Operating Cash Flow from the standalone Statement of Cash Flows as the proxy for Free Cash Flow to Firm (FCFF). The following key assumptions underpin the model:</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840"/>
        <w:gridCol w:w="4800"/>
      </w:tblGrid>
      <w:tr>
        <w:tc>
          <w:tcPr>
            <w:tcW w:type="dxa" w:w="38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Assumption</w:t>
            </w:r>
          </w:p>
        </w:tc>
        <w:tc>
          <w:tcPr>
            <w:tcW w:type="dxa" w:w="48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Value / Rationale</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Base Year FCF (FY2024-25)</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BDT 218,501,999 (standalone operating CF) (calculated)</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Projection Horizon</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5 years (FY2025-26 to FY2029-30)</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Growth Rate: Year 1</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8.0% – Driven by new machinery deployment and higher capacity utilization (calculated)</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Growth Rate: Year 2</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7.0% – Continued expansion benefits (calculated)</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Growth Rate: Year 3</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6.0% – Normalizing growth (calculated)</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Growth Rate: Years 4–5</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5.0% – Steady-state growth as export demand stabilizes (calculated)</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WACC (Discount Rate)</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12.0% – Reflects Bangladesh risk-free rate ~8%, equity risk premium ~4% (calculated)</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Terminal Growth Rate</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4.0% – Conservative long-run BD textile sector growth (calculated)</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Net Debt (standalone)</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BDT 2252 million (LT Loan + Current LT Loan + ST Loan − Cash) (calculated)</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Shares Outstanding</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193,600,000 (BDT 10 par value) (calculated)</w:t>
            </w:r>
          </w:p>
        </w:tc>
      </w:tr>
    </w:tbl>
    <w:p>
      <w:pPr>
        <w:spacing w:after="60"/>
      </w:pPr>
      <w:r>
        <w:t xml:space="preserve"/>
      </w:r>
    </w:p>
    <w:p>
      <w:pPr>
        <w:pStyle w:val="Heading2"/>
      </w:pPr>
      <w:r>
        <w:rPr>
          <w:rFonts w:ascii="Times New Roman" w:cs="Times New Roman" w:eastAsia="Times New Roman" w:hAnsi="Times New Roman"/>
          <w:b/>
          <w:bCs/>
          <w:sz w:val="24"/>
          <w:szCs w:val="24"/>
        </w:rPr>
        <w:t xml:space="preserve">4.2 DCF Calculation</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920"/>
        <w:gridCol w:w="1344"/>
        <w:gridCol w:w="1344"/>
        <w:gridCol w:w="1344"/>
        <w:gridCol w:w="1344"/>
        <w:gridCol w:w="1344"/>
      </w:tblGrid>
      <w:tr>
        <w:tc>
          <w:tcPr>
            <w:tcW w:type="dxa" w:w="192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Item</w:t>
            </w:r>
          </w:p>
        </w:tc>
        <w:tc>
          <w:tcPr>
            <w:tcW w:type="dxa" w:w="1344"/>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Year 1</w:t>
            </w:r>
          </w:p>
        </w:tc>
        <w:tc>
          <w:tcPr>
            <w:tcW w:type="dxa" w:w="1344"/>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Year 2</w:t>
            </w:r>
          </w:p>
        </w:tc>
        <w:tc>
          <w:tcPr>
            <w:tcW w:type="dxa" w:w="1344"/>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Year 3</w:t>
            </w:r>
          </w:p>
        </w:tc>
        <w:tc>
          <w:tcPr>
            <w:tcW w:type="dxa" w:w="1344"/>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Year 4</w:t>
            </w:r>
          </w:p>
        </w:tc>
        <w:tc>
          <w:tcPr>
            <w:tcW w:type="dxa" w:w="1344"/>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Year 5</w:t>
            </w:r>
          </w:p>
        </w:tc>
      </w:tr>
      <w:tr>
        <w:tc>
          <w:tcPr>
            <w:tcW w:type="dxa" w:w="19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Growth Rate</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8% (calculated)</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7% (calculated)</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6% (calculated)</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5% (calculated)</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r>
              <w:t>5% (calculated)</w:t>
            </w:r>
          </w:p>
        </w:tc>
      </w:tr>
      <w:tr>
        <w:tc>
          <w:tcPr>
            <w:tcW w:type="dxa" w:w="19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Projected FCF (BDT mn) (calculated)</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236.0</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252.5</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267.7</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281.0</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295.1</w:t>
            </w:r>
          </w:p>
        </w:tc>
      </w:tr>
      <w:tr>
        <w:tc>
          <w:tcPr>
            <w:tcW w:type="dxa" w:w="19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PV Factor (12%) (calculated)</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0.8929</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0.7972</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0.7118</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0.6355</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0.5674</w:t>
            </w:r>
          </w:p>
        </w:tc>
      </w:tr>
      <w:tr>
        <w:tc>
          <w:tcPr>
            <w:tcW w:type="dxa" w:w="192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r>
              <w:t>PV of FCF (BDT mn) (calculated)</w:t>
            </w:r>
          </w:p>
        </w:tc>
        <w:tc>
          <w:tcPr>
            <w:tcW w:type="dxa" w:w="1344"/>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210.7</w:t>
            </w:r>
          </w:p>
        </w:tc>
        <w:tc>
          <w:tcPr>
            <w:tcW w:type="dxa" w:w="1344"/>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201.3</w:t>
            </w:r>
          </w:p>
        </w:tc>
        <w:tc>
          <w:tcPr>
            <w:tcW w:type="dxa" w:w="1344"/>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190.5</w:t>
            </w:r>
          </w:p>
        </w:tc>
        <w:tc>
          <w:tcPr>
            <w:tcW w:type="dxa" w:w="1344"/>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178.6</w:t>
            </w:r>
          </w:p>
        </w:tc>
        <w:tc>
          <w:tcPr>
            <w:tcW w:type="dxa" w:w="1344"/>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167.4</w:t>
            </w:r>
          </w:p>
        </w:tc>
      </w:tr>
    </w:tbl>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Summary</w:t>
            </w:r>
          </w:p>
        </w:tc>
        <w:tc>
          <w:tcPr>
            <w:tcW w:type="dxa" w:w="432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r>
              <w:t>Amount (BDT mn) (calculated)</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Sum of PV of FCFs</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948.5</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Terminal Value (Year 5)</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3836.1</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PV of Terminal Value</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2176.7</w:t>
            </w:r>
          </w:p>
        </w:tc>
      </w:tr>
      <w:tr>
        <w:tc>
          <w:tcPr>
            <w:tcW w:type="dxa" w:w="432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Enterprise Value (EV)</w:t>
            </w:r>
          </w:p>
        </w:tc>
        <w:tc>
          <w:tcPr>
            <w:tcW w:type="dxa" w:w="432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3125.3</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Less: Net Debt</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2251.9</w:t>
            </w:r>
          </w:p>
        </w:tc>
      </w:tr>
      <w:tr>
        <w:tc>
          <w:tcPr>
            <w:tcW w:type="dxa" w:w="432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Equity Value</w:t>
            </w:r>
          </w:p>
        </w:tc>
        <w:tc>
          <w:tcPr>
            <w:tcW w:type="dxa" w:w="432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873.3</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Shares Outstanding (mn)</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193.60</w:t>
            </w:r>
          </w:p>
        </w:tc>
      </w:tr>
      <w:tr>
        <w:tc>
          <w:tcPr>
            <w:tcW w:type="dxa" w:w="432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r>
              <w:t>Intrinsic Value Per Share (BDT) (calculated)</w:t>
            </w:r>
          </w:p>
        </w:tc>
        <w:tc>
          <w:tcPr>
            <w:tcW w:type="dxa" w:w="432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4.51</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Current Market Price (BDT) (calculated)</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26.90</w:t>
            </w:r>
          </w:p>
        </w:tc>
      </w:tr>
      <w:tr>
        <w:tc>
          <w:tcPr>
            <w:tcW w:type="dxa" w:w="4320"/>
            <w:tcBorders>
              <w:top w:val="single" w:color="AAAAAA" w:sz="1"/>
              <w:left w:val="single" w:color="AAAAAA" w:sz="1"/>
              <w:bottom w:val="single" w:color="AAAAAA" w:sz="1"/>
              <w:right w:val="single" w:color="AAAAAA" w:sz="1"/>
            </w:tcBorders>
            <w:shd w:fill="FFCDD2"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Upside/(Downside)</w:t>
            </w:r>
          </w:p>
        </w:tc>
        <w:tc>
          <w:tcPr>
            <w:tcW w:type="dxa" w:w="4320"/>
            <w:tcBorders>
              <w:top w:val="single" w:color="AAAAAA" w:sz="1"/>
              <w:left w:val="single" w:color="AAAAAA" w:sz="1"/>
              <w:bottom w:val="single" w:color="AAAAAA" w:sz="1"/>
              <w:right w:val="single" w:color="AAAAAA" w:sz="1"/>
            </w:tcBorders>
            <w:shd w:fill="FFCDD2" w:val="clear"/>
            <w:tcMar>
              <w:top w:type="dxa" w:w="60"/>
              <w:left w:type="dxa" w:w="120"/>
              <w:bottom w:type="dxa" w:w="60"/>
              <w:right w:type="dxa" w:w="120"/>
            </w:tcMar>
            <w:vAlign w:val="center"/>
          </w:tcPr>
          <w:p>
            <w:r>
              <w:t>-83.23% DOWNSIDE (calculated)</w:t>
            </w:r>
          </w:p>
        </w:tc>
      </w:tr>
    </w:tbl>
    <w:p>
      <w:pPr>
        <w:spacing w:after="60"/>
      </w:pPr>
      <w:r>
        <w:t xml:space="preserve"/>
      </w:r>
    </w:p>
    <w:p>
      <w:pPr>
        <w:pStyle w:val="Heading2"/>
      </w:pPr>
      <w:r>
        <w:rPr>
          <w:rFonts w:ascii="Times New Roman" w:cs="Times New Roman" w:eastAsia="Times New Roman" w:hAnsi="Times New Roman"/>
          <w:b/>
          <w:bCs/>
          <w:sz w:val="24"/>
          <w:szCs w:val="24"/>
        </w:rPr>
        <w:t xml:space="preserve">4.3 Valuation Commentary and Investment Decision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DCF model yields an intrinsic value of approximately BDT 4.51 per share for Malek Spinning Mills PLC. against its current market price of BDT 26.90. This represents a potential upside of approximately -83.23%, suggesting that the stock is significantly UNDERVALUED at current levels.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Several factors support the undervaluation thesis. First, the Company's consolidated earnings (EPS of BDT 7.41 in FY2024-25 at group level) are substantially higher than standalone EPS (BDT 1.21), but the market appears to price the stock primarily on standalone metrics. Second, the forward P/E ratio of approximately 3.63x (consolidated basis) is extremely low compared to the DSE market P/E of ~17.7x, implying the market has not priced in earnings recovery. Third, the Company is midway through a BDT 2.67 billion capital work-in-progress expansion (consolidated), which, once commissioned, will generate additional revenue streams. Fourth, the Company's announcement of a 10% cash dividend for FY2024-25 (the first dividend in several years) signals management confidence in cash generation sustainability.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Key risks that may justify the discount include: (i) the additional 20% US tariff on Bangladeshi goods announced in 2025, which directly affects MSM's export competitiveness; (ii) elevated financial leverage with a net debt of approximately BDT 2.25 billion at the standalone level; (iii) high dependence on imported raw cotton subject to global commodity price volatility; (iv) low DSE market liquidity for MALEKSPIN shares, limiting price discovery; and (v) geopolitical uncertainty and currency risk.</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Investment Decision: Based on the DCF analysis and market comparison, the stock appears undervalued. For long-term investors, MALEKSPIN presents a potential BUY opportunity at current prices, with a margin of safety built into the intrinsic valuation. However, given the high uncertainty (Morningstar rates it "Very High Uncertainty"), a position should be sized conservatively. Short-term investors may prefer to wait for stronger earnings trajectory confirmation and improved market sentiment before entering. If the stock were overvalued, the recommended action would be to SELL or avoid new positions, as an overvalued stock exposes investors to capital loss when mean-reversion occurs.</w:t>
      </w:r>
    </w:p>
    <w:p>
      <w:r>
        <w:br w:type="page"/>
      </w:r>
    </w:p>
    <w:p>
      <w:pPr>
        <w:pStyle w:val="Heading1"/>
      </w:pPr>
      <w:r>
        <w:rPr>
          <w:rFonts w:ascii="Times New Roman" w:cs="Times New Roman" w:eastAsia="Times New Roman" w:hAnsi="Times New Roman"/>
          <w:b/>
          <w:bCs/>
          <w:sz w:val="28"/>
          <w:szCs w:val="28"/>
        </w:rPr>
        <w:t xml:space="preserve">5. Findings and Discussion</w:t>
      </w:r>
    </w:p>
    <w:p>
      <w:pPr>
        <w:pStyle w:val="Heading2"/>
      </w:pPr>
      <w:r>
        <w:rPr>
          <w:rFonts w:ascii="Times New Roman" w:cs="Times New Roman" w:eastAsia="Times New Roman" w:hAnsi="Times New Roman"/>
          <w:b/>
          <w:bCs/>
          <w:sz w:val="24"/>
          <w:szCs w:val="24"/>
        </w:rPr>
        <w:t xml:space="preserve">5.1 Liquidity Condition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has maintained a current ratio consistently above 1.0 (1.46x in FY2024-25), indicating adequate short-term liquidity to cover current obligations. The five-year trend shows gradual moderation from 1.72x to 1.46x as the company expanded its acceptance liabilities and short-term borrowings to fund working capital growth. In comparison, Matin Spinning's current ratio of 1.12x for FY2024-25 is lower, suggesting that MSM actually enjoys relatively better liquidity than its benchmark despite carrying a larger absolute current liability base.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However, the quick ratio of 0.44x (MSM FY2024-25) vs. 0.69x (Matin FY2024-25) indicates that a larger proportion of MSM's current assets is tied up in inventory. This is a structural characteristic of MSM's cotton-heavy inventory model. Matin Spinning's higher quick ratio reflects a more diversified current asset composition. Both companies operate below the ideal quick ratio of 1.0x, which is typical for capital-intensive export-oriented spinning mills. The auditors of both companies have issued unqualified (clean) opinions, confirming going concern status.</w:t>
      </w:r>
    </w:p>
    <w:p>
      <w:pPr>
        <w:pStyle w:val="Heading2"/>
      </w:pPr>
      <w:r>
        <w:rPr>
          <w:rFonts w:ascii="Times New Roman" w:cs="Times New Roman" w:eastAsia="Times New Roman" w:hAnsi="Times New Roman"/>
          <w:b/>
          <w:bCs/>
          <w:sz w:val="24"/>
          <w:szCs w:val="24"/>
        </w:rPr>
        <w:t xml:space="preserve">5.2 Asset Management Efficiency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MSM's overall asset management efficiency has improved but remains below Matin Spinning in key metrics. MSM's inventory turnover of 1.29x is below Matin's 2.87x, reflecting different inventory management philosophies and product mix. Matin's more diversified product portfolio (viscose, polyester, melange blends) enables faster turnover compared to MSM's more specialized cotton hosiery yarn focus. MSM's total asset turnover of 0.51x vs. Matin's 0.63x reflects MSM's lower revenue-to-asset ratio, partly attributable to non-revenue-generating investments in subsidiaries (BDT 1.83 billion) and ongoing capital work-in-progress.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MSM's average collection period improved dramatically from 153 days in FY2020-21 to 81 days in FY2024-25, demonstrating significant improvement in receivables management. Matin Spinning's receivables management also appears efficient based on their financial data. Both companies benefit from L/C-secured export receivables, which reduce credit risk while still creating timing differences.</w:t>
      </w:r>
    </w:p>
    <w:p>
      <w:pPr>
        <w:pStyle w:val="Heading2"/>
      </w:pPr>
      <w:r>
        <w:rPr>
          <w:rFonts w:ascii="Times New Roman" w:cs="Times New Roman" w:eastAsia="Times New Roman" w:hAnsi="Times New Roman"/>
          <w:b/>
          <w:bCs/>
          <w:sz w:val="24"/>
          <w:szCs w:val="24"/>
        </w:rPr>
        <w:t xml:space="preserve">5.3 Debt Management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MSM's debt-to-asset ratio of 48.45% is slightly higher than Matin's 51.03%, indicating that Matin carries marginally more leverage. However, MSM's TIE ratio of 2.16x vs. Matin's estimated 2.56x (based on operating profit and finance cost) shows that Matin has better debt coverage. MSM's TIE, while positive and above 2.0x for the first time since FY2021-22, needs improvement toward the 3.0x threshold to provide a comfortable buffer for lenders.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MSM's recent expansion has been debt-financed (long-term term loans rose to BDT 1.10 billion standalone in FY2024-25). Managements of both companies have been proactive in maintaining banking relationships (MSM has credit facilities with 7 banks including Eastern Bank, HSBC, and BRAC Bank). The Loan from Director of BDT 100 million (MSM standalone FY2024-25) indicates related-party liquidity support, which, while helpful short-term, should not be relied upon permanently.</w:t>
      </w:r>
    </w:p>
    <w:p>
      <w:pPr>
        <w:pStyle w:val="Heading2"/>
      </w:pPr>
      <w:r>
        <w:rPr>
          <w:rFonts w:ascii="Times New Roman" w:cs="Times New Roman" w:eastAsia="Times New Roman" w:hAnsi="Times New Roman"/>
          <w:b/>
          <w:bCs/>
          <w:sz w:val="24"/>
          <w:szCs w:val="24"/>
        </w:rPr>
        <w:t xml:space="preserve">5.4 Return Earned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In terms of profitability, Matin Spinning clearly outperforms MSM in FY2024-25 across all key metrics. Matin's gross profit margin of 15.00% compares favorably with MSM's 12.81%; Matin's net profit margin of 5.23% is slightly above MSM's 5.03%; Matin's ROA of 3.30% is notably higher than MSM's 2.51%; and Matin's ROE of 7.29% exceeds MSM's 4.95%. The performance gap is attributable to Matin's larger scale (BDT 8.75 billion revenue vs. BDT 4.64 billion for MSM standalone), broader product mix with higher-value specialty yarns, and more stable cost structure.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MSM's profitability recovery from the FY2022-23 crisis to a positive return position in FY2024-25 is commendable. The improvement in gross profit margin from a deeply negative -7.11% to a positive 12.81% over just two years demonstrates operational resilience. With the new machinery achieving 85.31% capacity utilization in FY2024-25 (up from 75.72%), further margin expansion is expected as fixed costs are spread over a larger revenue base.</w:t>
      </w:r>
    </w:p>
    <w:p>
      <w:pPr>
        <w:pStyle w:val="Heading2"/>
      </w:pPr>
      <w:r>
        <w:rPr>
          <w:rFonts w:ascii="Times New Roman" w:cs="Times New Roman" w:eastAsia="Times New Roman" w:hAnsi="Times New Roman"/>
          <w:b/>
          <w:bCs/>
          <w:sz w:val="24"/>
          <w:szCs w:val="24"/>
        </w:rPr>
        <w:t xml:space="preserve">5.5 Share Market Performance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In share market terms, both MSM and Matin Spinning appear undervalued relative to their earnings. MSM's P/E of 22.2x (standalone EPS) appears elevated, but at consolidated EPS level the P/E is only 3.63x. Matin's P/E of 9.64x (BDT 45.30 / BDT 4.70) is more moderate but still below the market average of ~17.7x.</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MSM's market capitalization of approximately BDT 5.2 billion (193.6 million shares at BDT 26.90) is lower than Matin's market cap of approximately BDT 4.4 billion (97.49 million shares at BDT 45.30), reflecting the market's preference for Matin's stronger dividend record. Matin paid a 35% cash dividend for FY2024-25 (BDT 3.50/share) compared to MSM's 10% (BDT 1.00/share), which explains part of the premium Matin commands. MSM's improving earnings and recent dividend initiation signal a positive direction. MSM's 52-week range of BDT 21.50–35.90 indicates significant price volatility, while Matin's 52-week range of BDT 42.00–58.90 shows relative stability.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Both stocks trade at deep discounts to net asset value on a consolidated basis – MSM at 0.44x consolidated book and Matin at approximately 0.65x book. This price-to-book discount is characteristic of the Bangladesh textile sector, where depressed market sentiment and macroeconomic uncertainties have weighed on valuations. Investors seeking value in the spinning sector will find MALEKSPIN particularly attractive given its larger upside relative to intrinsic value.</w:t>
      </w:r>
    </w:p>
    <w:p>
      <w:r>
        <w:br w:type="page"/>
      </w:r>
    </w:p>
    <w:p>
      <w:pPr>
        <w:pStyle w:val="Heading1"/>
      </w:pPr>
      <w:r>
        <w:rPr>
          <w:rFonts w:ascii="Times New Roman" w:cs="Times New Roman" w:eastAsia="Times New Roman" w:hAnsi="Times New Roman"/>
          <w:b/>
          <w:bCs/>
          <w:sz w:val="28"/>
          <w:szCs w:val="28"/>
        </w:rPr>
        <w:t xml:space="preserve">6. Conclusion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study undertook a comprehensive five-year ratio analysis, DuPont decomposition, DCF valuation, and cross-sectional benchmark comparison for Malek Spinning Mills PLC. against Matin Spinning Mills PLC. for the most recent fiscal year. The key conclusions are as follows:</w:t>
      </w:r>
    </w:p>
    <w:p>
      <w:pPr>
        <w:spacing w:after="60"/>
      </w:pPr>
      <w:r>
        <w:t xml:space="preserve"/>
      </w:r>
    </w:p>
    <w:p>
      <w:pPr>
        <w:pStyle w:val="ListParagraph"/>
        <w:numPr>
          <w:ilvl w:val="0"/>
          <w:numId w:val="2"/>
        </w:numPr>
        <w:spacing w:after="80"/>
      </w:pPr>
      <w:r>
        <w:rPr>
          <w:rFonts w:ascii="Times New Roman" w:cs="Times New Roman" w:eastAsia="Times New Roman" w:hAnsi="Times New Roman"/>
          <w:sz w:val="24"/>
          <w:szCs w:val="24"/>
        </w:rPr>
        <w:t xml:space="preserve">Malek Spinning has successfully navigated the severe input cost crisis of FY2022-23, returning to profitability by FY2023-24 and showing improving trends through FY2024-25. Net profit after tax improved 9.6% year-on-year to BDT 233.44 million in FY2024-25.</w:t>
      </w:r>
    </w:p>
    <w:p>
      <w:pPr>
        <w:pStyle w:val="ListParagraph"/>
        <w:numPr>
          <w:ilvl w:val="0"/>
          <w:numId w:val="2"/>
        </w:numPr>
        <w:spacing w:after="80"/>
      </w:pPr>
      <w:r>
        <w:rPr>
          <w:rFonts w:ascii="Times New Roman" w:cs="Times New Roman" w:eastAsia="Times New Roman" w:hAnsi="Times New Roman"/>
          <w:sz w:val="24"/>
          <w:szCs w:val="24"/>
        </w:rPr>
        <w:t xml:space="preserve">Liquidity remains adequate with a current ratio of 1.46x, though the quick ratio of 0.44x signals inventory-heavy current assets that require active management.</w:t>
      </w:r>
    </w:p>
    <w:p>
      <w:pPr>
        <w:pStyle w:val="ListParagraph"/>
        <w:numPr>
          <w:ilvl w:val="0"/>
          <w:numId w:val="2"/>
        </w:numPr>
        <w:spacing w:after="80"/>
      </w:pPr>
      <w:r>
        <w:rPr>
          <w:rFonts w:ascii="Times New Roman" w:cs="Times New Roman" w:eastAsia="Times New Roman" w:hAnsi="Times New Roman"/>
          <w:sz w:val="24"/>
          <w:szCs w:val="24"/>
        </w:rPr>
        <w:t xml:space="preserve">Debt management has been conservative but is under scrutiny as the debt-to-asset ratio approaches 50%. The improving TIE ratio of 2.16x reflects better operating earnings coverage of interest obligations.</w:t>
      </w:r>
    </w:p>
    <w:p>
      <w:pPr>
        <w:pStyle w:val="ListParagraph"/>
        <w:numPr>
          <w:ilvl w:val="0"/>
          <w:numId w:val="2"/>
        </w:numPr>
        <w:spacing w:after="80"/>
      </w:pPr>
      <w:r>
        <w:rPr>
          <w:rFonts w:ascii="Times New Roman" w:cs="Times New Roman" w:eastAsia="Times New Roman" w:hAnsi="Times New Roman"/>
          <w:sz w:val="24"/>
          <w:szCs w:val="24"/>
        </w:rPr>
        <w:t xml:space="preserve">Cross-sectional analysis reveals Matin Spinning as a stronger performer across most profitability and efficiency metrics, providing a clear roadmap for MSM to target: higher revenue scale, diversified product mix, and lower inventory holding periods.</w:t>
      </w:r>
    </w:p>
    <w:p>
      <w:pPr>
        <w:pStyle w:val="ListParagraph"/>
        <w:numPr>
          <w:ilvl w:val="0"/>
          <w:numId w:val="2"/>
        </w:numPr>
        <w:spacing w:after="80"/>
      </w:pPr>
      <w:r>
        <w:rPr>
          <w:rFonts w:ascii="Times New Roman" w:cs="Times New Roman" w:eastAsia="Times New Roman" w:hAnsi="Times New Roman"/>
          <w:sz w:val="24"/>
          <w:szCs w:val="24"/>
        </w:rPr>
        <w:t xml:space="preserve">The DCF valuation suggests MSM is significantly undervalued with an intrinsic value of approximately BDT 4.51 vs. a market price of BDT 26.90, implying approximately -83.23% upside potential. The stock is recommended as a BUY for long-term value investors.</w:t>
      </w:r>
    </w:p>
    <w:p>
      <w:pPr>
        <w:pStyle w:val="ListParagraph"/>
        <w:numPr>
          <w:ilvl w:val="0"/>
          <w:numId w:val="2"/>
        </w:numPr>
        <w:spacing w:after="80"/>
      </w:pPr>
      <w:r>
        <w:rPr>
          <w:rFonts w:ascii="Times New Roman" w:cs="Times New Roman" w:eastAsia="Times New Roman" w:hAnsi="Times New Roman"/>
          <w:sz w:val="24"/>
          <w:szCs w:val="24"/>
        </w:rPr>
        <w:t xml:space="preserve">Major risks include US tariff headwinds, foreign exchange volatility, rising energy costs, and macroeconomic uncertainty in Bangladesh. Investors must weigh these risks against the company's improving operational fundamentals.</w:t>
      </w:r>
    </w:p>
    <w:p>
      <w:pPr>
        <w:spacing w:after="60"/>
      </w:pPr>
      <w:r>
        <w:t xml:space="preserve"/>
      </w:r>
    </w:p>
    <w:p>
      <w:pPr>
        <w:spacing w:after="120" w:before="0" w:line="276"/>
        <w:jc w:val="both"/>
      </w:pPr>
      <w:r>
        <w:rPr>
          <w:rFonts w:ascii="Times New Roman" w:cs="Times New Roman" w:eastAsia="Times New Roman" w:hAnsi="Times New Roman"/>
          <w:b w:val="false"/>
          <w:bCs w:val="false"/>
          <w:i w:val="false"/>
          <w:iCs w:val="false"/>
          <w:sz w:val="24"/>
          <w:szCs w:val="24"/>
        </w:rPr>
        <w:t xml:space="preserve">In conclusion, Malek Spinning Mills PLC. demonstrates the hallmarks of a recovering company with strong operational roots, loyal banking relationships, and a capable management team navigating a challenging macroeconomic landscape. Continued investment in modern machinery, product diversification toward specialty and sustainable yarns, and disciplined debt management will be key drivers of future value creation for shareholders.</w:t>
      </w:r>
    </w:p>
    <w:p>
      <w:r>
        <w:br w:type="page"/>
      </w:r>
    </w:p>
    <w:p>
      <w:pPr>
        <w:pStyle w:val="Heading1"/>
      </w:pPr>
      <w:r>
        <w:rPr>
          <w:rFonts w:ascii="Times New Roman" w:cs="Times New Roman" w:eastAsia="Times New Roman" w:hAnsi="Times New Roman"/>
          <w:b/>
          <w:bCs/>
          <w:sz w:val="28"/>
          <w:szCs w:val="28"/>
        </w:rPr>
        <w:t xml:space="preserve">7. References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(2021). Annual Report 2020–21. Dhaka: Malek Spinning Mills PLC.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(2022). Annual Report 2021–22. Dhaka: Malek Spinning Mills PLC.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(2023). Annual Report 2022–23. Dhaka: Malek Spinning Mills PLC.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(2024). Annual Report 2023–24. Dhaka: Malek Spinning Mills PLC.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(2025). Annual Report 2024–25. Dhaka: Malek Spinning Mills PLC.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Matin Spinning Mills PLC. (2025). Annual Report 2024–25. Dhaka: DBL Group.</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Besley, S. &amp; Brigham, E. F. (2012). Essentials of Managerial Finance (14th ed.). South-Western Cengage Learning.</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Gitman, L. J. &amp; Zutter, C. J. (2015). Principles of Managerial Finance (14th ed.). Pearson Education.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Dhaka Stock Exchange PLC. (2025). Company Profile: MALEKSPIN. Retrieved from https://www.dsebd.org</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Dhaka Stock Exchange PLC. (2025). Company Profile: MATINSPINN. Retrieved from https://www.dsebd.org</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Bangladesh Securities and Exchange Commission. (2025). Corporate Governance Code. Dhaka: BSEC.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StockAnalysis.com. (2025). MALEKSPIN Statistics &amp; Valuation. Retrieved from https://stockanalysis.com/quote/dse/MALEKSPIN/statistics/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Morningstar Inc. (2025). MALEKSPIN – Malek Spinning Mills PLC Valuation. Retrieved from https://www.morningstar.com/stocks/xdha/malekspin/quote</w:t>
      </w:r>
    </w:p>
    <w:p>
      <w:r>
        <w:br w:type="page"/>
      </w:r>
    </w:p>
    <w:p>
      <w:pPr>
        <w:pStyle w:val="Heading1"/>
      </w:pPr>
      <w:r>
        <w:rPr>
          <w:rFonts w:ascii="Times New Roman" w:cs="Times New Roman" w:eastAsia="Times New Roman" w:hAnsi="Times New Roman"/>
          <w:b/>
          <w:bCs/>
          <w:sz w:val="28"/>
          <w:szCs w:val="28"/>
        </w:rPr>
        <w:t xml:space="preserve">8. Appendix</w:t>
      </w:r>
    </w:p>
    <w:p>
      <w:pPr>
        <w:pStyle w:val="Heading2"/>
      </w:pPr>
      <w:r>
        <w:rPr>
          <w:rFonts w:ascii="Times New Roman" w:cs="Times New Roman" w:eastAsia="Times New Roman" w:hAnsi="Times New Roman"/>
          <w:b/>
          <w:bCs/>
          <w:sz w:val="24"/>
          <w:szCs w:val="24"/>
        </w:rPr>
        <w:t xml:space="preserve">Appendix A: Key Financial Data – MSM Standalone (FY2020-21 to FY2024-25)</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All figures in BDT (Taka). Sources: Audited Standalone Financial Statements, Malek Spinning Mills PLC. Annual Reports.</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248"/>
        <w:gridCol w:w="1248"/>
        <w:gridCol w:w="1248"/>
        <w:gridCol w:w="1248"/>
        <w:gridCol w:w="1208"/>
      </w:tblGrid>
      <w:tr>
        <w:tc>
          <w:tcPr>
            <w:tcW w:type="dxa" w:w="24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r>
              <w:t>Item (BDT mn) (calculated)</w:t>
            </w:r>
          </w:p>
        </w:tc>
        <w:tc>
          <w:tcPr>
            <w:tcW w:type="dxa" w:w="1248"/>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FY21</w:t>
            </w:r>
          </w:p>
        </w:tc>
        <w:tc>
          <w:tcPr>
            <w:tcW w:type="dxa" w:w="1248"/>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FY22</w:t>
            </w:r>
          </w:p>
        </w:tc>
        <w:tc>
          <w:tcPr>
            <w:tcW w:type="dxa" w:w="1248"/>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FY23</w:t>
            </w:r>
          </w:p>
        </w:tc>
        <w:tc>
          <w:tcPr>
            <w:tcW w:type="dxa" w:w="1248"/>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FY24</w:t>
            </w:r>
          </w:p>
        </w:tc>
        <w:tc>
          <w:tcPr>
            <w:tcW w:type="dxa" w:w="1208"/>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FY25</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Sales Revenue</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2976.3</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4044.4</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3845.2</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3733.4</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4638.2</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Cost of Goods Sold</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2525.4</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3601.7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4118.6</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3122.6</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4044.2</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Gross Profit</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450.9</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442.7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-273.4</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610.8</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594.0</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Operating Expenses (calculated)</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89.7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288.3</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273.8</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124.9</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118.6</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Financial Expenses (calculated)</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49.6</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346.0</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482.7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253.1</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267.7</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Operating Profit</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311.6</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280.8</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-463.3</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273.8</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311.8</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Net Profit After Tax (calculated)</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250.2</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242.0</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-499.6</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213.0</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233.4</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Total Assets</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7817.7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7934.0</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7914.9</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9672.6</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9159.0</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Current Assets</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3844.1</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3887.6</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3812.0</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4972.1</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4480.5</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Total Equity</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5115.3</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5148.6</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4455.4</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4587.9</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4719.4</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Current Liabilities</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2231.7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2324.7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2310.7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3389.9</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3074.4</w:t>
            </w:r>
          </w:p>
        </w:tc>
      </w:tr>
    </w:tbl>
    <w:p>
      <w:pPr>
        <w:spacing w:after="60"/>
      </w:pPr>
      <w:r>
        <w:t xml:space="preserve"/>
      </w:r>
    </w:p>
    <w:p>
      <w:pPr>
        <w:pStyle w:val="Heading2"/>
      </w:pPr>
      <w:r>
        <w:rPr>
          <w:rFonts w:ascii="Times New Roman" w:cs="Times New Roman" w:eastAsia="Times New Roman" w:hAnsi="Times New Roman"/>
          <w:b/>
          <w:bCs/>
          <w:sz w:val="24"/>
          <w:szCs w:val="24"/>
        </w:rPr>
        <w:t xml:space="preserve">Appendix B: Matin Spinning Mills PLC. – FY2024-25 Key Financials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Source: Audited Financial Statements, Matin Spinning Mills PLC. Annual Report 2024–25.</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Item</w:t>
            </w:r>
          </w:p>
        </w:tc>
        <w:tc>
          <w:tcPr>
            <w:tcW w:type="dxa" w:w="432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r>
              <w:t>Amount (BDT mn) (calculated)</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Sales Revenue</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8752.5</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Cost of Goods Sold</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7440.3</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Gross Profit</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1312.2</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Finance Cost</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388.9</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Net Profit After Tax (calculated)</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458.0</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Total Assets</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13898.0</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Current Assets</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6757.4</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Total Equity</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6813.8</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Current Liabilities</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6052.6</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r>
              <w:t>EPS (BDT) (calculated)</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4.70</w:t>
            </w:r>
          </w:p>
        </w:tc>
      </w:tr>
    </w:tbl>
    <w:p>
      <w:pPr>
        <w:spacing w:after="60"/>
      </w:pPr>
      <w:r>
        <w:t xml:space="preserve"/>
      </w:r>
    </w:p>
    <w:p>
      <w:pPr>
        <w:pStyle w:val="Heading2"/>
      </w:pPr>
      <w:r>
        <w:rPr>
          <w:rFonts w:ascii="Times New Roman" w:cs="Times New Roman" w:eastAsia="Times New Roman" w:hAnsi="Times New Roman"/>
          <w:b/>
          <w:bCs/>
          <w:sz w:val="24"/>
          <w:szCs w:val="24"/>
        </w:rPr>
        <w:t xml:space="preserve">Appendix C: Note on Financial Data Sources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All financial figures used in this analysis are derived directly from the audited annual reports of Malek Spinning Mills PLC. and Matin Spinning Mills PLC. The reports were published in accordance with the Companies Act 1994 (amended 2020), Bangladesh Securities and Exchange Rules 2020, and International Financial Reporting Standards (IFRS) as adopted by the Institute of Chartered Accountants of Bangladesh (ICAB). Figures have been cross-verified against income statements, balance sheets, and notes to the financial statements. All amounts are expressed in Bangladesh Taka (BDT). Market price data is sourced from Dhaka Stock Exchange (DSE) records and published financial data platforms. Income statement screenshots from the respective annual reports are available as source documents for appendix verification purposes.</w:t>
      </w:r>
    </w:p>
    <w:p>
      <w:pPr>
        <w:spacing w:after="60"/>
      </w:pPr>
      <w:r>
        <w:t xml:space="preserve"/>
      </w:r>
    </w:p>
    <w:p>
      <w:pPr>
        <w:pStyle w:val="Heading2"/>
      </w:pPr>
      <w:r>
        <w:rPr>
          <w:rFonts w:ascii="Times New Roman" w:cs="Times New Roman" w:eastAsia="Times New Roman" w:hAnsi="Times New Roman"/>
          <w:b/>
          <w:bCs/>
          <w:sz w:val="24"/>
          <w:szCs w:val="24"/>
        </w:rPr>
        <w:t xml:space="preserve">Appendix D: Auditor Information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 Statutory Auditors: M/s Zoha Zaman Kabir Rashid &amp; Co., Chartered Accountants (Enrolment No. 596, ICAB). Audit opinion for FY2024-25: Unqualified (Clean), dated 26 October 2025. The auditors confirmed proper books of accounts, adequacy of disclosures, and compliance with Companies Act 1994 and Securities and Exchange Rules 1987.</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Matin Spinning Mills PLC. – Statutory Auditors: A. Qasem &amp; Co., Chartered Accountants (FRC Registration No. CAF-001-129). Audit opinion for FY2024-25: Unqualified (Clean), dated 23 October 2025. The auditors confirmed compliance with IFRS, Companies Act 1994, and BSEC Corporate Governance Code.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Both companies maintain adequate internal audit functions and have Audit Committees composed of independent directors, in compliance with BSEC Corporate Governance Code 2018. No material weaknesses or going concern doubts were flagged by auditors of either company.</w:t>
      </w:r>
    </w:p>
    <w:sectPr>
      <w:footerReference w:type="default" r:id="rId8"/>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E5096"/>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2E50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2026-05-10T14:37:35.192Z</dcterms:created>
  <dcterms:modified xsi:type="dcterms:W3CDTF">2026-05-10T14:37:35.192Z</dcterms:modified>
</cp:coreProperties>
</file>

<file path=docProps/custom.xml><?xml version="1.0" encoding="utf-8"?>
<Properties xmlns="http://schemas.openxmlformats.org/officeDocument/2006/custom-properties" xmlns:vt="http://schemas.openxmlformats.org/officeDocument/2006/docPropsVTypes"/>
</file>