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center"/>
        <w:rPr/>
      </w:pPr>
      <w:bookmarkStart w:colFirst="0" w:colLast="0" w:name="_pikq7twf4yg6" w:id="0"/>
      <w:bookmarkEnd w:id="0"/>
      <w:r w:rsidDel="00000000" w:rsidR="00000000" w:rsidRPr="00000000">
        <w:rPr>
          <w:rtl w:val="0"/>
        </w:rPr>
        <w:t xml:space="preserve">From Hobby to Career: Exploring Professional Esports in Bangladesh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iwdypg8gus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MD Rifat Rahman | ID: 19101352</w:t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MD Showrav Zaman | ID: 19101374</w:t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u42rmvazuyh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3bi5qs3ostsf" w:id="3"/>
      <w:bookmarkEnd w:id="3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Finalize Topic.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Research questions.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 of research (survey/interviews/mixed-methods).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quesni…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Exploring all related papers (at least 50+).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writing assignment 3 using overleaf and share the editable link.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Thematic Analysis / Design.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 paper in upcoming CHI (Deadline August 20).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2ht08fomguy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are doing snowball sampling.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j4jj3zumrdl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p6ybb0eajjr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left="0" w:firstLine="0"/>
        <w:jc w:val="left"/>
        <w:rPr/>
      </w:pPr>
      <w:bookmarkStart w:colFirst="0" w:colLast="0" w:name="_lmbosz3zqsb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center"/>
        <w:rPr/>
      </w:pPr>
      <w:bookmarkStart w:colFirst="0" w:colLast="0" w:name="_yere2h8ol4pj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https://www.sciencedirect.com/science/article/abs/pii/S0747563220304180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https://journals.sagepub.com/doi/full/10.1177/1555412019840892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https://www.tandfonline.com/doi/full/10.1080/14241277.2020.1757808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https://www.emerald.com/insight/content/doi/10.1108/IntR-04-2016-0085./full/html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https://www.sciencedirect.com/science/article/abs/pii/S0747563220304180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https://eric.ed.gov/?id=EJ954495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http://thesportjournal.org/article/understanding-esports-from-the-perspective-of-team-dynamics/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ric.ed.gov/?id=EJ954495" TargetMode="External"/><Relationship Id="rId10" Type="http://schemas.openxmlformats.org/officeDocument/2006/relationships/hyperlink" Target="https://www.sciencedirect.com/science/article/abs/pii/S0747563220304180" TargetMode="External"/><Relationship Id="rId12" Type="http://schemas.openxmlformats.org/officeDocument/2006/relationships/hyperlink" Target="http://thesportjournal.org/article/understanding-esports-from-the-perspective-of-team-dynamics/" TargetMode="External"/><Relationship Id="rId9" Type="http://schemas.openxmlformats.org/officeDocument/2006/relationships/hyperlink" Target="https://www.emerald.com/insight/content/doi/10.1108/IntR-04-2016-0085./full/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747563220304180" TargetMode="External"/><Relationship Id="rId7" Type="http://schemas.openxmlformats.org/officeDocument/2006/relationships/hyperlink" Target="https://journals.sagepub.com/doi/full/10.1177/1555412019840892" TargetMode="External"/><Relationship Id="rId8" Type="http://schemas.openxmlformats.org/officeDocument/2006/relationships/hyperlink" Target="https://www.tandfonline.com/doi/full/10.1080/14241277.2020.1757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