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Times New Roman" w:cs="Times New Roman" w:eastAsia="Times New Roman" w:hAnsi="Times New Roman"/>
          <w:b/>
          <w:bCs/>
          <w:sz w:val="24"/>
          <w:szCs w:val="24"/>
        </w:rPr>
        <w:t xml:space="preserve">5. Recommended Alternative Solutions</w:t>
      </w:r>
    </w:p>
    <w:p>
      <w:pPr>
        <w:spacing w:after="0" w:before="0" w:line="480" w:lineRule="auto"/>
        <w:ind w:firstLine="720"/>
        <w:jc w:val="both"/>
      </w:pPr>
      <w:r>
        <w:rPr>
          <w:rFonts w:ascii="Times New Roman" w:cs="Times New Roman" w:eastAsia="Times New Roman" w:hAnsi="Times New Roman"/>
          <w:sz w:val="24"/>
          <w:szCs w:val="24"/>
        </w:rPr>
        <w:t xml:space="preserve">While the seven-pronged human resource (HR) model developed by Mehta demonstrates considerable effectiveness within its operational context, the sustainability of Microsign's inclusive practices in the face of accelerating technological change necessitates a more systematic and institutionally grounded approach. The solutions implemented within the case study, though commendable, remain largely contingent upon individual leadership and informal organizational culture. The following alternative solutions are proposed to address the firm's dual challenge of technological modernization and the preservation of its inclusivity-centred HR model.</w:t>
      </w:r>
    </w:p>
    <w:p>
      <w:pPr>
        <w:spacing w:line="480" w:lineRule="auto"/>
      </w:pPr>
      <w:r>
        <w:rPr>
          <w:rFonts w:ascii="Times New Roman" w:cs="Times New Roman" w:eastAsia="Times New Roman" w:hAnsi="Times New Roman"/>
          <w:sz w:val="24"/>
          <w:szCs w:val="24"/>
        </w:rPr>
        <w:t xml:space="preserve"/>
      </w:r>
    </w:p>
    <w:p>
      <w:pPr>
        <w:spacing w:after="160" w:before="320" w:line="480" w:lineRule="auto"/>
      </w:pPr>
      <w:r>
        <w:rPr>
          <w:rFonts w:ascii="Times New Roman" w:cs="Times New Roman" w:eastAsia="Times New Roman" w:hAnsi="Times New Roman"/>
          <w:b/>
          <w:bCs/>
          <w:sz w:val="24"/>
          <w:szCs w:val="24"/>
        </w:rPr>
        <w:t xml:space="preserve">5.1 Universal Design for Work (UDW) Integrated Technology Procurement</w:t>
      </w:r>
    </w:p>
    <w:p>
      <w:pPr>
        <w:spacing w:after="0" w:before="0" w:line="480" w:lineRule="auto"/>
        <w:ind w:firstLine="720"/>
        <w:jc w:val="both"/>
      </w:pPr>
      <w:r>
        <w:rPr>
          <w:rFonts w:ascii="Times New Roman" w:cs="Times New Roman" w:eastAsia="Times New Roman" w:hAnsi="Times New Roman"/>
          <w:sz w:val="24"/>
          <w:szCs w:val="24"/>
        </w:rPr>
        <w:t xml:space="preserve">A foundational limitation of the approach described in the case is the reactive nature of workforce adaptation following technology adoption. Rather than retrofitting accessibility measures after machinery has been procured, Microsign should embed accessibility requirements into the procurement evaluation framework from the outset. This approach is consistent with the principles of Universal Design for Work (UDW), which advocates for the development and selection of tools, environments, and systems that are inherently usable by individuals with diverse physical and cognitive abilities without subsequent adaptation (Steinfeld &amp; Maisel, 2012).</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In practical terms, this would involve establishing a cross-functional evaluation committee — comprising HR specialists, occupational therapists, and frontline supervisors with direct knowledge of the differently abled workforce — to assess prospective German machinery against accessibility benchmarks prior to purchase. Specifications such as multi-modal alert systems (e.g., visual indicators supplementing auditory signals for deaf-mute employees), adjustable control interfaces for workers with orthopedic impairments, and ergonomically adaptable workstations would constitute minimum procurement criteria. This proactive integration of accessibility into capital expenditure decisions not only reduces the risk of post-implementation exclusion but also aligns with Microsign's foundational organizational value of equity over charity.</w:t>
      </w:r>
    </w:p>
    <w:p>
      <w:pPr>
        <w:spacing w:line="480" w:lineRule="auto"/>
      </w:pPr>
      <w:r>
        <w:rPr>
          <w:rFonts w:ascii="Times New Roman" w:cs="Times New Roman" w:eastAsia="Times New Roman" w:hAnsi="Times New Roman"/>
          <w:sz w:val="24"/>
          <w:szCs w:val="24"/>
        </w:rPr>
        <w:t xml:space="preserve"/>
      </w:r>
    </w:p>
    <w:p>
      <w:pPr>
        <w:spacing w:after="160" w:before="320" w:line="480" w:lineRule="auto"/>
      </w:pPr>
      <w:r>
        <w:rPr>
          <w:rFonts w:ascii="Times New Roman" w:cs="Times New Roman" w:eastAsia="Times New Roman" w:hAnsi="Times New Roman"/>
          <w:b/>
          <w:bCs/>
          <w:sz w:val="24"/>
          <w:szCs w:val="24"/>
        </w:rPr>
        <w:t xml:space="preserve">5.2 Formalization of a Peer-Led Technology Transition Training Programme</w:t>
      </w:r>
    </w:p>
    <w:p>
      <w:pPr>
        <w:spacing w:after="0" w:before="0" w:line="480" w:lineRule="auto"/>
        <w:ind w:firstLine="720"/>
        <w:jc w:val="both"/>
      </w:pPr>
      <w:r>
        <w:rPr>
          <w:rFonts w:ascii="Times New Roman" w:cs="Times New Roman" w:eastAsia="Times New Roman" w:hAnsi="Times New Roman"/>
          <w:sz w:val="24"/>
          <w:szCs w:val="24"/>
        </w:rPr>
        <w:t xml:space="preserve">The case documentation reveals that Microsign's existing training methodology — wherein experienced employees, including those who are differently abled, serve as trainers for new recruits — has been instrumental in sustaining the firm's family-like organizational climate. However, this practice remains largely informal and therefore susceptible to inconsistency, particularly during periods of significant operational change. It is proposed that Microsign formalize this approach into a structured Peer-Led Training (PLT) programme specifically designed to facilitate the transition to advanced machinery.</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Drawing upon the train-the-trainer model documented in organizational change literature (Burke, 2017), a cohort of senior employees — selected on the basis of technical competence, interpersonal aptitude, and familiarity with the differently abled workforce — should be designated as Technology Transition Champions. These individuals would receive comprehensive training from external technical experts and would thereafter be responsible for cascading this knowledge to their respective teams. This approach preserves the relational trust that underpins Microsign's HR model while simultaneously ensuring that competency development is systematic and measurable. Precedents from large-scale manufacturing firms, notably Toyota's peer-based kaizen training systems, affirm the efficacy of this methodology in achieving both operational proficiency and employee engagement during technological transitions (Liker, 2004).</w:t>
      </w:r>
    </w:p>
    <w:p>
      <w:pPr>
        <w:spacing w:line="480" w:lineRule="auto"/>
      </w:pPr>
      <w:r>
        <w:rPr>
          <w:rFonts w:ascii="Times New Roman" w:cs="Times New Roman" w:eastAsia="Times New Roman" w:hAnsi="Times New Roman"/>
          <w:sz w:val="24"/>
          <w:szCs w:val="24"/>
        </w:rPr>
        <w:t xml:space="preserve"/>
      </w:r>
    </w:p>
    <w:p>
      <w:pPr>
        <w:spacing w:after="160" w:before="320" w:line="480" w:lineRule="auto"/>
      </w:pPr>
      <w:r>
        <w:rPr>
          <w:rFonts w:ascii="Times New Roman" w:cs="Times New Roman" w:eastAsia="Times New Roman" w:hAnsi="Times New Roman"/>
          <w:b/>
          <w:bCs/>
          <w:sz w:val="24"/>
          <w:szCs w:val="24"/>
        </w:rPr>
        <w:t xml:space="preserve">5.3 Phased Technology Implementation with Concurrent Workforce Skills Mapping</w:t>
      </w:r>
    </w:p>
    <w:p>
      <w:pPr>
        <w:spacing w:after="0" w:before="0" w:line="480" w:lineRule="auto"/>
        <w:ind w:firstLine="720"/>
        <w:jc w:val="both"/>
      </w:pPr>
      <w:r>
        <w:rPr>
          <w:rFonts w:ascii="Times New Roman" w:cs="Times New Roman" w:eastAsia="Times New Roman" w:hAnsi="Times New Roman"/>
          <w:sz w:val="24"/>
          <w:szCs w:val="24"/>
        </w:rPr>
        <w:t xml:space="preserve">The adoption of advanced German machinery represents a structural disruption to existing workflows and role configurations. A full-scale simultaneous implementation heightens the risk of workforce displacement and competency gaps, outcomes that would be disproportionately adverse for differently abled employees who may require longer adaptation periods or role-specific accommodations. In accordance with principles of change management, it is recommended that Microsign pursue a phased implementation strategy accompanied by a systematic workforce skills mapping exercise (Kotter, 1996).</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This approach entails conducting a comprehensive audit of current employee capabilities and role responsibilities prior to any machinery deployment. The audit results should be cross-referenced against the competency requirements of the new equipment to identify alignment, reskilling needs, and potential redeployment opportunities. Employees whose existing roles are subject to automation or significant alteration should be proactively reassigned to positions that capitalize on their established skills — for instance, reallocating orthopedically impaired workers from machine-intensive tasks to quality control or supervisory functions that remain less susceptible to automation. This pre-emptive approach ensures workforce continuity, mitigates the risk of involuntary exclusion, and demonstrates Microsign's sustained organizational commitment to equitable employment.</w:t>
      </w:r>
    </w:p>
    <w:p>
      <w:pPr>
        <w:spacing w:line="480" w:lineRule="auto"/>
      </w:pPr>
      <w:r>
        <w:rPr>
          <w:rFonts w:ascii="Times New Roman" w:cs="Times New Roman" w:eastAsia="Times New Roman" w:hAnsi="Times New Roman"/>
          <w:sz w:val="24"/>
          <w:szCs w:val="24"/>
        </w:rPr>
        <w:t xml:space="preserve"/>
      </w:r>
    </w:p>
    <w:p>
      <w:pPr>
        <w:spacing w:after="160" w:before="320" w:line="480" w:lineRule="auto"/>
      </w:pPr>
      <w:r>
        <w:rPr>
          <w:rFonts w:ascii="Times New Roman" w:cs="Times New Roman" w:eastAsia="Times New Roman" w:hAnsi="Times New Roman"/>
          <w:b/>
          <w:bCs/>
          <w:sz w:val="24"/>
          <w:szCs w:val="24"/>
        </w:rPr>
        <w:t xml:space="preserve">5.4 Strategic Partnerships with Government and Civil Society for Reskilling Infrastructure</w:t>
      </w:r>
    </w:p>
    <w:p>
      <w:pPr>
        <w:spacing w:after="0" w:before="0" w:line="480" w:lineRule="auto"/>
        <w:ind w:firstLine="720"/>
        <w:jc w:val="both"/>
      </w:pPr>
      <w:r>
        <w:rPr>
          <w:rFonts w:ascii="Times New Roman" w:cs="Times New Roman" w:eastAsia="Times New Roman" w:hAnsi="Times New Roman"/>
          <w:sz w:val="24"/>
          <w:szCs w:val="24"/>
        </w:rPr>
        <w:t xml:space="preserve">Microsign's established recognition as a socially exemplary enterprise — evidenced by national awards from the Ministry of Social Justice and Empowerment and endorsements from organizations such as the National Centre for Promotion of Employment for Disabled People (NCPEDP) — constitutes a form of institutional social capital that remains underutilized as a strategic resource. It is proposed that the firm leverage this reputational standing to cultivate formal partnerships with government agencies, industry associations, and corporate social responsibility (CSR) networks to co-fund the development of accessible reskilling infrastructure.</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Such partnerships could facilitate the provision of assistive technologies, ergonomic training simulators, and disability-inclusive vocational training modules aligned with the new machinery's operational requirements. Under the framework of India's Rights of Persons with Disabilities Act (2016), both central and state government bodies maintain mandated obligations to support the vocational integration of differently abled individuals, creating a legislative basis for Microsign to access public funding (Ministry of Law and Justice, 2016). This collaborative model not only reduces the financial burden of the technological transition but also positions Microsign as a national laboratory for inclusive industrial modernization — a designation that would further enhance its competitive and reputational differentiation.</w:t>
      </w:r>
    </w:p>
    <w:p>
      <w:pPr>
        <w:spacing w:line="480" w:lineRule="auto"/>
      </w:pPr>
      <w:r>
        <w:rPr>
          <w:rFonts w:ascii="Times New Roman" w:cs="Times New Roman" w:eastAsia="Times New Roman" w:hAnsi="Times New Roman"/>
          <w:sz w:val="24"/>
          <w:szCs w:val="24"/>
        </w:rPr>
        <w:t xml:space="preserve"/>
      </w:r>
    </w:p>
    <w:p>
      <w:pPr>
        <w:spacing w:after="160" w:before="320" w:line="480" w:lineRule="auto"/>
      </w:pPr>
      <w:r>
        <w:rPr>
          <w:rFonts w:ascii="Times New Roman" w:cs="Times New Roman" w:eastAsia="Times New Roman" w:hAnsi="Times New Roman"/>
          <w:b/>
          <w:bCs/>
          <w:sz w:val="24"/>
          <w:szCs w:val="24"/>
        </w:rPr>
        <w:t xml:space="preserve">5.5 Institutionalization of the Inclusive HR Model through Codified Policy and Knowledge Management</w:t>
      </w:r>
    </w:p>
    <w:p>
      <w:pPr>
        <w:spacing w:after="0" w:before="0" w:line="480" w:lineRule="auto"/>
        <w:ind w:firstLine="720"/>
        <w:jc w:val="both"/>
      </w:pPr>
      <w:r>
        <w:rPr>
          <w:rFonts w:ascii="Times New Roman" w:cs="Times New Roman" w:eastAsia="Times New Roman" w:hAnsi="Times New Roman"/>
          <w:sz w:val="24"/>
          <w:szCs w:val="24"/>
        </w:rPr>
        <w:t xml:space="preserve">Perhaps the most structurally significant vulnerability identified in the Microsign case is the concentration of the firm's inclusive HR philosophy within the personal vision and leadership of its founder. As Mehta himself acknowledges, the question of replicability remains unresolved. In the absence of formal policy codification, the model risks discontinuity in the event of leadership succession or organizational scaling. It is therefore recommended that Microsign undertake a systematic effort to institutionalize its HR practices through the development of a formal Inclusive Employment Policy and a comprehensive knowledge management repository.</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Building upon the Centre of Excellence established in 2003, this repository should document the operational parameters of the seven-pronged HR model, including role-design frameworks, workplace accommodation protocols, performance assessment criteria adapted for diverse ability profiles, and the firm's approach to inclusive succession planning. Nonaka and Takeuchi's (1995) knowledge creation theory offers a relevant theoretical framework, emphasizing the necessity of converting tacit organizational knowledge — currently embodied in Mehta's managerial intuition — into explicit, transferable documentation accessible across the organizational hierarchy. This institutionalization process not only ensures continuity and scalability within Microsign but also enables the model's dissemination to peer organizations, fulfilling the broader societal mission articulated by the CEO.</w:t>
      </w:r>
    </w:p>
    <w:p>
      <w:pPr>
        <w:spacing w:line="480" w:lineRule="auto"/>
      </w:pPr>
      <w:r>
        <w:rPr>
          <w:rFonts w:ascii="Times New Roman" w:cs="Times New Roman" w:eastAsia="Times New Roman" w:hAnsi="Times New Roman"/>
          <w:sz w:val="24"/>
          <w:szCs w:val="24"/>
        </w:rPr>
        <w:t xml:space="preserve"/>
      </w:r>
    </w:p>
    <w:p>
      <w:pPr>
        <w:spacing w:line="480" w:lineRule="auto"/>
      </w:pPr>
      <w:r>
        <w:rPr>
          <w:rFonts w:ascii="Times New Roman" w:cs="Times New Roman" w:eastAsia="Times New Roman" w:hAnsi="Times New Roman"/>
          <w:sz w:val="24"/>
          <w:szCs w:val="24"/>
        </w:rPr>
        <w:t xml:space="preserve"/>
      </w:r>
    </w:p>
    <w:p>
      <w:pPr>
        <w:spacing w:after="160" w:before="0" w:line="480" w:lineRule="auto"/>
      </w:pPr>
      <w:r>
        <w:rPr>
          <w:rFonts w:ascii="Times New Roman" w:cs="Times New Roman" w:eastAsia="Times New Roman" w:hAnsi="Times New Roman"/>
          <w:b/>
          <w:bCs/>
          <w:sz w:val="24"/>
          <w:szCs w:val="24"/>
        </w:rPr>
        <w:t xml:space="preserve">Additional References for Section 5</w:t>
      </w:r>
    </w:p>
    <w:p>
      <w:pPr>
        <w:spacing w:after="0" w:before="0" w:line="480" w:lineRule="auto"/>
        <w:ind w:firstLine="720"/>
        <w:jc w:val="both"/>
      </w:pPr>
      <w:r>
        <w:rPr>
          <w:rFonts w:ascii="Times New Roman" w:cs="Times New Roman" w:eastAsia="Times New Roman" w:hAnsi="Times New Roman"/>
          <w:sz w:val="24"/>
          <w:szCs w:val="24"/>
        </w:rPr>
        <w:t xml:space="preserve">Burke, W. W. (2017). Organization change: Theory and practice (5th ed.). SAGE Publications.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Kotter, J. P. (1996). Leading change. Harvard Business School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Liker, J. K. (2004). The Toyota way: 14 management principles from the world's greatest manufacturer. McGraw-Hill.</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Ministry of Law and Justice, Government of India. (2016). The Rights of Persons with Disabilities Act, 2016. The Gazette of India.</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Nonaka, I., &amp; Takeuchi, H. (1995). The knowledge-creating company: How Japanese companies create the dynamics of innovation. Oxford University Press.</w:t>
      </w:r>
    </w:p>
    <w:p>
      <w:pPr>
        <w:spacing w:line="480" w:lineRule="auto"/>
      </w:pPr>
      <w:r>
        <w:rPr>
          <w:rFonts w:ascii="Times New Roman" w:cs="Times New Roman" w:eastAsia="Times New Roman" w:hAnsi="Times New Roman"/>
          <w:sz w:val="24"/>
          <w:szCs w:val="24"/>
        </w:rPr>
        <w:t xml:space="preserve"/>
      </w:r>
    </w:p>
    <w:p>
      <w:pPr>
        <w:spacing w:after="0" w:before="0" w:line="480" w:lineRule="auto"/>
        <w:ind w:firstLine="720"/>
        <w:jc w:val="both"/>
      </w:pPr>
      <w:r>
        <w:rPr>
          <w:rFonts w:ascii="Times New Roman" w:cs="Times New Roman" w:eastAsia="Times New Roman" w:hAnsi="Times New Roman"/>
          <w:sz w:val="24"/>
          <w:szCs w:val="24"/>
        </w:rPr>
        <w:t xml:space="preserve">Steinfeld, E., &amp; Maisel, J. (2012). Universal design: Creating inclusive environments. John Wiley &amp; Sons.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2026-05-03T13:39:03.893Z</dcterms:created>
  <dcterms:modified xsi:type="dcterms:W3CDTF">2026-05-03T13:39:03.894Z</dcterms:modified>
</cp:coreProperties>
</file>

<file path=docProps/custom.xml><?xml version="1.0" encoding="utf-8"?>
<Properties xmlns="http://schemas.openxmlformats.org/officeDocument/2006/custom-properties" xmlns:vt="http://schemas.openxmlformats.org/officeDocument/2006/docPropsVTypes"/>
</file>