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480" w:lineRule="auto"/>
        <w:jc w:val="center"/>
      </w:pPr>
      <w:r>
        <w:rPr>
          <w:rFonts w:ascii="Times New Roman" w:cs="Times New Roman" w:eastAsia="Times New Roman" w:hAnsi="Times New Roman"/>
          <w:b/>
          <w:bCs/>
          <w:sz w:val="24"/>
          <w:szCs w:val="24"/>
        </w:rPr>
        <w:t xml:space="preserve">5. Recommended Alternative Solutions</w:t>
      </w:r>
    </w:p>
    <w:p>
      <w:pPr>
        <w:spacing w:after="0" w:before="0" w:line="480" w:lineRule="auto"/>
        <w:ind w:firstLine="720"/>
        <w:jc w:val="both"/>
      </w:pPr>
      <w:r>
        <w:rPr>
          <w:rFonts w:ascii="Times New Roman" w:cs="Times New Roman" w:eastAsia="Times New Roman" w:hAnsi="Times New Roman"/>
          <w:sz w:val="24"/>
          <w:szCs w:val="24"/>
        </w:rPr>
        <w:t xml:space="preserve">Microsign's existing HR model is built on strong values, but it relies heavily on the founder's personal leadership. As the company moves toward adopting advanced technology, more structured and scalable solutions are needed to protect its inclusive culture. The following four alternatives are proposed to support this transition effectively.</w:t>
      </w:r>
    </w:p>
    <w:p>
      <w:pPr>
        <w:spacing w:line="480" w:lineRule="auto"/>
      </w:pPr>
      <w:r>
        <w:rPr>
          <w:rFonts w:ascii="Times New Roman" w:cs="Times New Roman" w:eastAsia="Times New Roman" w:hAnsi="Times New Roman"/>
          <w:sz w:val="24"/>
          <w:szCs w:val="24"/>
        </w:rPr>
        <w:t xml:space="preserve"/>
      </w:r>
    </w:p>
    <w:p>
      <w:pPr>
        <w:spacing w:after="0" w:before="240" w:line="480" w:lineRule="auto"/>
        <w:ind w:firstLine="720"/>
      </w:pPr>
      <w:r>
        <w:rPr>
          <w:rFonts w:ascii="Times New Roman" w:cs="Times New Roman" w:eastAsia="Times New Roman" w:hAnsi="Times New Roman"/>
          <w:b/>
          <w:bCs/>
          <w:sz w:val="24"/>
          <w:szCs w:val="24"/>
        </w:rPr>
        <w:t xml:space="preserve">5.1 Build Accessibility into the Machine Selection Process</w:t>
      </w:r>
    </w:p>
    <w:p>
      <w:pPr>
        <w:spacing w:after="0" w:before="0" w:line="480" w:lineRule="auto"/>
        <w:ind w:firstLine="720"/>
        <w:jc w:val="both"/>
      </w:pPr>
      <w:r>
        <w:rPr>
          <w:rFonts w:ascii="Times New Roman" w:cs="Times New Roman" w:eastAsia="Times New Roman" w:hAnsi="Times New Roman"/>
          <w:sz w:val="24"/>
          <w:szCs w:val="24"/>
        </w:rPr>
        <w:t xml:space="preserve">Instead of buying new machines first and then figuring out how to make them work for differently abled employees, Microsign should include accessibility as a key selection criteria from the beginning. A small evaluation team — including HR managers and floor supervisors — should check whether the German machines have features like visual alert systems for deaf workers and height-adjustable controls for those with physical limitations. This approach prevents costly modifications later and keeps inclusion at the core of business decisions, which aligns with Universal Design principles (Steinfeld &amp; Maisel, 2012).</w:t>
      </w:r>
    </w:p>
    <w:p>
      <w:pPr>
        <w:spacing w:line="480" w:lineRule="auto"/>
      </w:pPr>
      <w:r>
        <w:rPr>
          <w:rFonts w:ascii="Times New Roman" w:cs="Times New Roman" w:eastAsia="Times New Roman" w:hAnsi="Times New Roman"/>
          <w:sz w:val="24"/>
          <w:szCs w:val="24"/>
        </w:rPr>
        <w:t xml:space="preserve"/>
      </w:r>
    </w:p>
    <w:p>
      <w:pPr>
        <w:spacing w:after="0" w:before="240" w:line="480" w:lineRule="auto"/>
        <w:ind w:firstLine="720"/>
      </w:pPr>
      <w:r>
        <w:rPr>
          <w:rFonts w:ascii="Times New Roman" w:cs="Times New Roman" w:eastAsia="Times New Roman" w:hAnsi="Times New Roman"/>
          <w:b/>
          <w:bCs/>
          <w:sz w:val="24"/>
          <w:szCs w:val="24"/>
        </w:rPr>
        <w:t xml:space="preserve">5.2 Create a Structured Peer Training Program for the Technology Shift</w:t>
      </w:r>
    </w:p>
    <w:p>
      <w:pPr>
        <w:spacing w:after="0" w:before="0" w:line="480" w:lineRule="auto"/>
        <w:ind w:firstLine="720"/>
        <w:jc w:val="both"/>
      </w:pPr>
      <w:r>
        <w:rPr>
          <w:rFonts w:ascii="Times New Roman" w:cs="Times New Roman" w:eastAsia="Times New Roman" w:hAnsi="Times New Roman"/>
          <w:sz w:val="24"/>
          <w:szCs w:val="24"/>
        </w:rPr>
        <w:t xml:space="preserve">Microsign already has a strong culture of employees training each other, including differently abled supervisors teaching new workers. This strength should be formalized into an official peer training program for the technology transition. A selected group of experienced workers would first learn the new machines and then train their own teams. This method, known as the train-the-trainer model, helps employees feel more comfortable learning from someone they already trust, rather than an outside expert (Burke, 2017). It also keeps the family-like work environment intact during the change.</w:t>
      </w:r>
    </w:p>
    <w:p>
      <w:pPr>
        <w:spacing w:line="480" w:lineRule="auto"/>
      </w:pPr>
      <w:r>
        <w:rPr>
          <w:rFonts w:ascii="Times New Roman" w:cs="Times New Roman" w:eastAsia="Times New Roman" w:hAnsi="Times New Roman"/>
          <w:sz w:val="24"/>
          <w:szCs w:val="24"/>
        </w:rPr>
        <w:t xml:space="preserve"/>
      </w:r>
    </w:p>
    <w:p>
      <w:pPr>
        <w:spacing w:after="0" w:before="240" w:line="480" w:lineRule="auto"/>
        <w:ind w:firstLine="720"/>
      </w:pPr>
      <w:r>
        <w:rPr>
          <w:rFonts w:ascii="Times New Roman" w:cs="Times New Roman" w:eastAsia="Times New Roman" w:hAnsi="Times New Roman"/>
          <w:b/>
          <w:bCs/>
          <w:sz w:val="24"/>
          <w:szCs w:val="24"/>
        </w:rPr>
        <w:t xml:space="preserve">5.3 Roll Out Technology in Stages, Not All at Once</w:t>
      </w:r>
    </w:p>
    <w:p>
      <w:pPr>
        <w:spacing w:after="0" w:before="0" w:line="480" w:lineRule="auto"/>
        <w:ind w:firstLine="720"/>
        <w:jc w:val="both"/>
      </w:pPr>
      <w:r>
        <w:rPr>
          <w:rFonts w:ascii="Times New Roman" w:cs="Times New Roman" w:eastAsia="Times New Roman" w:hAnsi="Times New Roman"/>
          <w:sz w:val="24"/>
          <w:szCs w:val="24"/>
        </w:rPr>
        <w:t xml:space="preserve">Introducing all new machinery at the same time is risky, especially for a workforce where 60% of employees are differently abled and may need more time to adjust. A better approach is to roll out the technology gradually, starting with a skills assessment to understand what each employee can do and what training they need (Kotter, 1996). Workers whose current jobs may change significantly can be moved to other suitable roles — such as quality checking or supervisory tasks — before the machines arrive. This protects job security and shows employees that the company still values them.</w:t>
      </w:r>
    </w:p>
    <w:p>
      <w:pPr>
        <w:spacing w:line="480" w:lineRule="auto"/>
      </w:pPr>
      <w:r>
        <w:rPr>
          <w:rFonts w:ascii="Times New Roman" w:cs="Times New Roman" w:eastAsia="Times New Roman" w:hAnsi="Times New Roman"/>
          <w:sz w:val="24"/>
          <w:szCs w:val="24"/>
        </w:rPr>
        <w:t xml:space="preserve"/>
      </w:r>
    </w:p>
    <w:p>
      <w:pPr>
        <w:spacing w:after="0" w:before="240" w:line="480" w:lineRule="auto"/>
        <w:ind w:firstLine="720"/>
      </w:pPr>
      <w:r>
        <w:rPr>
          <w:rFonts w:ascii="Times New Roman" w:cs="Times New Roman" w:eastAsia="Times New Roman" w:hAnsi="Times New Roman"/>
          <w:b/>
          <w:bCs/>
          <w:sz w:val="24"/>
          <w:szCs w:val="24"/>
        </w:rPr>
        <w:t xml:space="preserve">5.4 Document and Preserve the Inclusive HR Model Formally</w:t>
      </w:r>
    </w:p>
    <w:p>
      <w:pPr>
        <w:spacing w:after="0" w:before="0" w:line="480" w:lineRule="auto"/>
        <w:ind w:firstLine="720"/>
        <w:jc w:val="both"/>
      </w:pPr>
      <w:r>
        <w:rPr>
          <w:rFonts w:ascii="Times New Roman" w:cs="Times New Roman" w:eastAsia="Times New Roman" w:hAnsi="Times New Roman"/>
          <w:sz w:val="24"/>
          <w:szCs w:val="24"/>
        </w:rPr>
        <w:t xml:space="preserve">Right now, much of Microsign's inclusive HR culture exists in practice but not on paper. If Mehta were to step down, there is a real risk that these practices could fade away. To prevent this, the company should write down its HR policies, training methods, and workplace accommodation practices in a clear and organized format. Nonaka and Takeuchi (1995) argue that turning hands-on knowledge into written guidelines is essential for any organization to grow and survive long-term. Microsign's Centre of Excellence, opened in 2003, is the ideal place to store and share this institutional knowledge.</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b/>
          <w:bCs/>
          <w:sz w:val="24"/>
          <w:szCs w:val="24"/>
        </w:rPr>
        <w:t xml:space="preserve">Additional References</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Burke, W. W. (2017). Organization change: Theory and practice (5th ed.). SAGE Publications.</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Kotter, J. P. (1996). Leading change. Harvard Business School Press.</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Nonaka, I., &amp; Takeuchi, H. (1995). The knowledge-creating company. Oxford University Press.</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Steinfeld, E., &amp; Maisel, J. (2012). Universal design: Creating inclusive environments. John Wiley &amp; Sons.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2026-05-03T14:03:30.523Z</dcterms:created>
  <dcterms:modified xsi:type="dcterms:W3CDTF">2026-05-03T14:03:30.539Z</dcterms:modified>
</cp:coreProperties>
</file>

<file path=docProps/custom.xml><?xml version="1.0" encoding="utf-8"?>
<Properties xmlns="http://schemas.openxmlformats.org/officeDocument/2006/custom-properties" xmlns:vt="http://schemas.openxmlformats.org/officeDocument/2006/docPropsVTypes"/>
</file>