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4"/>
          <w:szCs w:val="24"/>
        </w:rPr>
        <w:t xml:space="preserve">5. Recommended Alternative Solutions</w:t>
      </w:r>
    </w:p>
    <w:p>
      <w:pPr>
        <w:spacing w:after="0" w:before="0" w:line="480" w:lineRule="auto"/>
        <w:ind w:firstLine="720"/>
        <w:jc w:val="both"/>
      </w:pPr>
      <w:r>
        <w:rPr>
          <w:rFonts w:ascii="Times New Roman" w:cs="Times New Roman" w:eastAsia="Times New Roman" w:hAnsi="Times New Roman"/>
          <w:sz w:val="24"/>
          <w:szCs w:val="24"/>
        </w:rPr>
        <w:t xml:space="preserve">Although Microsign's seven-pronged HR model represents a commendable framework for inclusive employment, its continued efficacy under conditions of rapid technological change requires more structured and institutionally grounded alternatives. The following solutions are proposed to complement and strengthen the firm's existing approach.</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5.1 Universal Design-Based Technology Procurement</w:t>
      </w:r>
    </w:p>
    <w:p>
      <w:pPr>
        <w:spacing w:after="0" w:before="0" w:line="480" w:lineRule="auto"/>
        <w:ind w:firstLine="720"/>
        <w:jc w:val="both"/>
      </w:pPr>
      <w:r>
        <w:rPr>
          <w:rFonts w:ascii="Times New Roman" w:cs="Times New Roman" w:eastAsia="Times New Roman" w:hAnsi="Times New Roman"/>
          <w:sz w:val="24"/>
          <w:szCs w:val="24"/>
        </w:rPr>
        <w:t xml:space="preserve">Accessibility criteria should be embedded into the machinery procurement process from the outset, rather than addressed reactively post-implementation. Consistent with Universal Design principles (Steinfeld &amp; Maisel, 2012), evaluation committees comprising HR specialists and occupational therapists should assess prospective equipment against predetermined accessibility benchmarks — including multi-modal alert systems and adjustable interfaces — thereby ensuring inclusivity is structurally preserved rather than retrofitted.</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5.2 Formalized Peer-Led Transition Training</w:t>
      </w:r>
    </w:p>
    <w:p>
      <w:pPr>
        <w:spacing w:after="0" w:before="0" w:line="480" w:lineRule="auto"/>
        <w:ind w:firstLine="720"/>
        <w:jc w:val="both"/>
      </w:pPr>
      <w:r>
        <w:rPr>
          <w:rFonts w:ascii="Times New Roman" w:cs="Times New Roman" w:eastAsia="Times New Roman" w:hAnsi="Times New Roman"/>
          <w:sz w:val="24"/>
          <w:szCs w:val="24"/>
        </w:rPr>
        <w:t xml:space="preserve">Microsign's informal peer training culture should be institutionalized into a structured train-the-trainer programme. Designated Technology Transition Champions, selected from experienced employees across ability categories, would receive technical instruction and cascade competency development to their respective teams (Burke, 2017). This preserves the firm's relational organizational climate while ensuring systematic skill acquisition during the transition.</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5.3 Phased Implementation with Workforce Skills Mapping</w:t>
      </w:r>
    </w:p>
    <w:p>
      <w:pPr>
        <w:spacing w:after="0" w:before="0" w:line="480" w:lineRule="auto"/>
        <w:ind w:firstLine="720"/>
        <w:jc w:val="both"/>
      </w:pPr>
      <w:r>
        <w:rPr>
          <w:rFonts w:ascii="Times New Roman" w:cs="Times New Roman" w:eastAsia="Times New Roman" w:hAnsi="Times New Roman"/>
          <w:sz w:val="24"/>
          <w:szCs w:val="24"/>
        </w:rPr>
        <w:t xml:space="preserve">A simultaneous full-scale technology rollout risks disproportionate disruption to differently abled employees. It is recommended that Microsign adopt a phased implementation approach preceded by a workforce skills audit, cross-referencing existing employee competencies against new machinery requirements (Kotter, 1996). Proactive role redeployment — for instance, transitioning workers to quality assurance functions — would mitigate displacement and uphold the firm's commitment to equitable employment continuity.</w:t>
      </w:r>
    </w:p>
    <w:p>
      <w:pPr>
        <w:spacing w:line="480" w:lineRule="auto"/>
      </w:pPr>
      <w:r>
        <w:rPr>
          <w:rFonts w:ascii="Times New Roman" w:cs="Times New Roman" w:eastAsia="Times New Roman" w:hAnsi="Times New Roman"/>
          <w:sz w:val="24"/>
          <w:szCs w:val="24"/>
        </w:rPr>
        <w:t xml:space="preserve"/>
      </w:r>
    </w:p>
    <w:p>
      <w:pPr>
        <w:spacing w:after="0" w:before="240" w:line="480" w:lineRule="auto"/>
        <w:ind w:firstLine="720"/>
      </w:pPr>
      <w:r>
        <w:rPr>
          <w:rFonts w:ascii="Times New Roman" w:cs="Times New Roman" w:eastAsia="Times New Roman" w:hAnsi="Times New Roman"/>
          <w:b/>
          <w:bCs/>
          <w:sz w:val="24"/>
          <w:szCs w:val="24"/>
        </w:rPr>
        <w:t xml:space="preserve">5.4 Institutionalization of the Inclusive HR Model</w:t>
      </w:r>
    </w:p>
    <w:p>
      <w:pPr>
        <w:spacing w:after="0" w:before="0" w:line="480" w:lineRule="auto"/>
        <w:ind w:firstLine="720"/>
        <w:jc w:val="both"/>
      </w:pPr>
      <w:r>
        <w:rPr>
          <w:rFonts w:ascii="Times New Roman" w:cs="Times New Roman" w:eastAsia="Times New Roman" w:hAnsi="Times New Roman"/>
          <w:sz w:val="24"/>
          <w:szCs w:val="24"/>
        </w:rPr>
        <w:t xml:space="preserve">Microsign's inclusive HR philosophy remains contingent upon the founder's personal leadership, rendering it vulnerable to succession and scaling risks. It is therefore proposed that the firm formalize its practices into a documented Inclusive Employment Policy, building upon the Centre of Excellence established in 2003. Drawing on Nonaka and Takeuchi's (1995) knowledge creation framework, converting tacit managerial knowledge into explicit, transferable documentation would ensure the model's continuity, replicability, and long-term institutional resilience.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Additional References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Burke, W. W. (2017). Organization change: Theory and practice (5th ed.). SAGE Publications.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Kotter, J. P. (1996). Leading change. Harvard Business School Press.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Nonaka, I., &amp; Takeuchi, H. (1995). The knowledge-creating company. Oxford University Press.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Steinfeld, E., &amp; Maisel, J. (2012). Universal design: Creating inclusive environments. John Wiley &amp; 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2026-05-03T13:46:05.668Z</dcterms:created>
  <dcterms:modified xsi:type="dcterms:W3CDTF">2026-05-03T13:46:05.684Z</dcterms:modified>
</cp:coreProperties>
</file>

<file path=docProps/custom.xml><?xml version="1.0" encoding="utf-8"?>
<Properties xmlns="http://schemas.openxmlformats.org/officeDocument/2006/custom-properties" xmlns:vt="http://schemas.openxmlformats.org/officeDocument/2006/docPropsVTypes"/>
</file>