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328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31.10.2021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31.10.2021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31.10.2021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993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17.05.2021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 И О</w:t>
            </w:r>
          </w:p>
        </w:tc>
        <w:tc>
          <w:tcPr>
            <w:tcW w:type="dxa" w:w="2004"/>
          </w:tcPr>
          <w:p>
            <w:r>
              <w:t>Д</w:t>
            </w:r>
          </w:p>
        </w:tc>
        <w:tc>
          <w:tcPr>
            <w:tcW w:type="dxa" w:w="1534"/>
          </w:tcPr>
          <w:p>
            <w:r>
              <w:t>02.01.2000</w:t>
            </w:r>
          </w:p>
        </w:tc>
        <w:tc>
          <w:tcPr>
            <w:tcW w:type="dxa" w:w="3500"/>
          </w:tcPr>
          <w:p>
            <w:r>
              <w:t>1111111111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