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shd w:fill="c9daf8" w:val="clear"/>
        </w:rPr>
      </w:pPr>
      <w:bookmarkStart w:colFirst="0" w:colLast="0" w:name="_heading=h.gjdgxs" w:id="0"/>
      <w:bookmarkEnd w:id="0"/>
      <w:r w:rsidDel="00000000" w:rsidR="00000000" w:rsidRPr="00000000">
        <w:rPr>
          <w:shd w:fill="c9daf8" w:val="clear"/>
          <w:rtl w:val="0"/>
        </w:rPr>
        <w:t xml:space="preserve">Программа экзамена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after="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Критерии согласия (Пирсона и Колмогорова)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Таблицы сопряженности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Одновыборочный критерий Стьюдента. Условия его применимости. Парный критерий Стьюдента. Непараметрические парные критерии (знаков и Уилкоксона)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Двухвыборочные критерии (Смирнова, Уилкоксона, Стьюдента, Фишера, Z-тест)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Дисперсионный анализ (ANOVA): постановка задачи, схема решения, условия применимости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Проблема множественного тестирования при проверке статистических гипотез. FWER и FDR.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Теория точечного оценивания. Состоятельность, несмещённость и эффективность оценок. Принцип максимального правдоподобия при получении оценок параметров.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Байесовы оценки: по максимуму апостериорной вероятности, по среднему и медиане апостериорного распределения. Связь с псевдоотсчётами.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Доверительные интервалы и их интерпретация. Получение симметричного и одностороннего доверительного интервала из точечной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Коэффициент корреляции Пирсона, его интерпретация. Связь скореллированности и независимости. Проверка гипотезы о нескореллированности. Корреляция Спирмена.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24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Регрессия. Выбросы и влиятельные значения. Коэффициент детерминации. Разложение суммы квадратов. Формулировки статистических задач, связанных с линейной регрессией.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Регрессия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— условия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наблюдения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ε — </w:t>
      </w:r>
      <w:r w:rsidDel="00000000" w:rsidR="00000000" w:rsidRPr="00000000">
        <w:rPr>
          <w:b w:val="1"/>
          <w:rtl w:val="0"/>
        </w:rPr>
        <w:t xml:space="preserve">модель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— некоторая функция, а ε — «ошибка измерения» (случайная величина)</w:t>
        <w:br w:type="textWrapping"/>
      </w:r>
      <w:r w:rsidDel="00000000" w:rsidR="00000000" w:rsidRPr="00000000">
        <w:rPr>
          <w:rtl w:val="0"/>
        </w:rPr>
        <w:t xml:space="preserve">(например, если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i w:val="1"/>
          <w:rtl w:val="0"/>
        </w:rPr>
        <w:t xml:space="preserve">bx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то это «линейная регрессия»)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— предсказанные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невязки.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i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может быть подобрана из разных соображений. Чаще всего стараются минимизировать сумму квадратов невязок.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две выборки чисел одинаковой длины.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Гипотеза состоит в том, что значения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зависят от значений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линейно с точностью до ошибки измерения, которая (ошибка) нормально распределена со средним 0 :</w:t>
        <w:br w:type="textWrapping"/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bx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+ ε</w:t>
        <w:br w:type="textWrapping"/>
        <w:t xml:space="preserve">ε ~ N(0;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(σ </w:t>
      </w:r>
      <w:r w:rsidDel="00000000" w:rsidR="00000000" w:rsidRPr="00000000">
        <w:rPr>
          <w:rtl w:val="0"/>
        </w:rPr>
        <w:t xml:space="preserve">неизвестно, но предполагается постоянным)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Наша задача — оценить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этого минимизируем сумму квадратов невязок:</w:t>
        <w:br w:type="textWrapping"/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a, b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= ∑(</w:t>
          </w:r>
        </w:sdtContent>
      </w:sdt>
      <w:r w:rsidDel="00000000" w:rsidR="00000000" w:rsidRPr="00000000">
        <w:rPr>
          <w:i w:val="1"/>
          <w:rtl w:val="0"/>
        </w:rPr>
        <w:t xml:space="preserve">bx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b̂ =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∑ (</w:t>
          </w:r>
        </w:sdtContent>
      </w:sdt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–x̅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–y̅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)/ ∑ (</w:t>
          </w:r>
        </w:sdtContent>
      </w:sdt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–x̅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â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y̅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b̂ x̅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i w:val="1"/>
          <w:vertAlign w:val="subscript"/>
        </w:rPr>
      </w:pPr>
      <w:r w:rsidDel="00000000" w:rsidR="00000000" w:rsidRPr="00000000">
        <w:rPr>
          <w:rtl w:val="0"/>
        </w:rPr>
        <w:t xml:space="preserve">При линейной регрессии </w:t>
      </w:r>
      <w:r w:rsidDel="00000000" w:rsidR="00000000" w:rsidRPr="00000000">
        <w:rPr>
          <w:i w:val="1"/>
          <w:rtl w:val="0"/>
        </w:rPr>
        <w:t xml:space="preserve">b̂ = r s</w:t>
      </w:r>
      <w:r w:rsidDel="00000000" w:rsidR="00000000" w:rsidRPr="00000000">
        <w:rPr>
          <w:i w:val="1"/>
          <w:vertAlign w:val="subscript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/s</w:t>
      </w:r>
      <w:r w:rsidDel="00000000" w:rsidR="00000000" w:rsidRPr="00000000">
        <w:rPr>
          <w:i w:val="1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 — коэффициент корреляции между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, </w:t>
        <w:br w:type="textWrapping"/>
      </w: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vertAlign w:val="sub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 — стандартные отклонения выборок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Стандартная ошибка для </w:t>
      </w:r>
      <w:r w:rsidDel="00000000" w:rsidR="00000000" w:rsidRPr="00000000">
        <w:rPr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9050" distT="19050" distL="19050" distR="19050">
            <wp:extent cx="2647687" cy="72463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687" cy="72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Пусть мы определили параметры линейной регрессии по наблюдениям </w:t>
        <w:br w:type="textWrapping"/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и пусть нам хочется предсказать значение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для какого-либо нового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самом деле тут </w:t>
      </w:r>
      <w:r w:rsidDel="00000000" w:rsidR="00000000" w:rsidRPr="00000000">
        <w:rPr>
          <w:b w:val="1"/>
          <w:rtl w:val="0"/>
        </w:rPr>
        <w:t xml:space="preserve">две разные </w:t>
      </w:r>
      <w:r w:rsidDel="00000000" w:rsidR="00000000" w:rsidRPr="00000000">
        <w:rPr>
          <w:rtl w:val="0"/>
        </w:rPr>
        <w:t xml:space="preserve">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Оценить </w:t>
      </w:r>
      <w:r w:rsidDel="00000000" w:rsidR="00000000" w:rsidRPr="00000000">
        <w:rPr>
          <w:b w:val="1"/>
          <w:rtl w:val="0"/>
        </w:rPr>
        <w:t xml:space="preserve">среднее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при таком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Оценить границы доверительного интервала значений </w:t>
      </w:r>
      <w:r w:rsidDel="00000000" w:rsidR="00000000" w:rsidRPr="00000000">
        <w:rPr>
          <w:i w:val="1"/>
          <w:rtl w:val="0"/>
        </w:rPr>
        <w:t xml:space="preserve">y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Интуитивно понятно, что точечная оценка для среднего значения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— это </w:t>
        <w:br w:type="textWrapping"/>
      </w: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â + b̂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Но вот границы доверительного интервала для </w:t>
      </w:r>
      <w:r w:rsidDel="00000000" w:rsidR="00000000" w:rsidRPr="00000000">
        <w:rPr>
          <w:b w:val="1"/>
          <w:rtl w:val="0"/>
        </w:rPr>
        <w:t xml:space="preserve">самого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и для его среднего разные. Для среднего это </w:t>
      </w:r>
      <w:r w:rsidDel="00000000" w:rsidR="00000000" w:rsidRPr="00000000">
        <w:rPr/>
        <w:drawing>
          <wp:inline distB="19050" distT="19050" distL="19050" distR="19050">
            <wp:extent cx="4164263" cy="70119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263" cy="701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А для самого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9050" distT="19050" distL="19050" distR="19050">
            <wp:extent cx="4078538" cy="59058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8" cy="59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  <w:t xml:space="preserve">Коэффициент детерминации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821238" cy="150887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238" cy="150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i w:val="1"/>
          <w:vertAlign w:val="subscript"/>
        </w:rPr>
      </w:pPr>
      <w:r w:rsidDel="00000000" w:rsidR="00000000" w:rsidRPr="00000000">
        <w:rPr>
          <w:rtl w:val="0"/>
        </w:rPr>
        <w:t xml:space="preserve">десь </w:t>
      </w: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— предсказанные моделью значения, </w:t>
      </w:r>
      <w:r w:rsidDel="00000000" w:rsidR="00000000" w:rsidRPr="00000000">
        <w:rPr>
          <w:i w:val="1"/>
          <w:rtl w:val="0"/>
        </w:rPr>
        <w:t xml:space="preserve">y̅ </w:t>
      </w:r>
      <w:r w:rsidDel="00000000" w:rsidR="00000000" w:rsidRPr="00000000">
        <w:rPr>
          <w:rtl w:val="0"/>
        </w:rPr>
        <w:t xml:space="preserve">— среднее значение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Величина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«коэффициент детерминации»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 </w:t>
      </w:r>
      <w:r w:rsidDel="00000000" w:rsidR="00000000" w:rsidRPr="00000000">
        <w:rPr>
          <w:rtl w:val="0"/>
        </w:rPr>
        <w:t xml:space="preserve">означает идеальное соответствие модели наблюдениям (все </w:t>
      </w: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Близкое к 0 или тем более отрицательное значение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означает, что модель ничего не объяснила (остаточная сумма квадратов практически равна полной сумме квадратов)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  <w:t xml:space="preserve">Разложение суммы квадратов</w:t>
      </w:r>
    </w:p>
    <w:p w:rsidR="00000000" w:rsidDel="00000000" w:rsidP="00000000" w:rsidRDefault="00000000" w:rsidRPr="00000000" w14:paraId="00000030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16" w:lineRule="auto"/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3126038" cy="39731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038" cy="39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Если модель линейная: </w:t>
      </w:r>
      <w:r w:rsidDel="00000000" w:rsidR="00000000" w:rsidRPr="00000000">
        <w:rPr>
          <w:i w:val="1"/>
          <w:rtl w:val="0"/>
        </w:rPr>
        <w:t xml:space="preserve">ŷ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bx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оба коэффициента </w:t>
      </w:r>
      <w:r w:rsidDel="00000000" w:rsidR="00000000" w:rsidRPr="00000000">
        <w:rPr>
          <w:rtl w:val="0"/>
        </w:rPr>
        <w:t xml:space="preserve">получены методом наименьших квадратов (!) ,  </w:t>
        <w:br w:type="textWrapping"/>
        <w:t xml:space="preserve">то полная сумма квадратов равна сумме объяснённой суммы квадратов и остаточной суммы квадратов.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i w:val="1"/>
          <w:color w:val="0070c0"/>
          <w:rtl w:val="0"/>
        </w:rPr>
        <w:t xml:space="preserve">Упражнение: докажите это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Поэтому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в этом случае равен доле объяснённой суммы квадратов в полной сумме квадратов (или, что то же самое, доле объяснённой дисперсии в полной дисперсии — дисперсия получается из суммы квадратов делением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0" w:line="240" w:lineRule="auto"/>
        <w:ind w:left="720" w:firstLine="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SS</w:t>
      </w:r>
      <w:r w:rsidDel="00000000" w:rsidR="00000000" w:rsidRPr="00000000">
        <w:rPr>
          <w:i w:val="1"/>
          <w:vertAlign w:val="subscript"/>
          <w:rtl w:val="0"/>
        </w:rPr>
        <w:t xml:space="preserve">ex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SS</w:t>
      </w:r>
      <w:r w:rsidDel="00000000" w:rsidR="00000000" w:rsidRPr="00000000">
        <w:rPr>
          <w:i w:val="1"/>
          <w:vertAlign w:val="subscript"/>
          <w:rtl w:val="0"/>
        </w:rPr>
        <w:t xml:space="preserve">tot</w:t>
      </w:r>
    </w:p>
    <w:p w:rsidR="00000000" w:rsidDel="00000000" w:rsidP="00000000" w:rsidRDefault="00000000" w:rsidRPr="00000000" w14:paraId="00000036">
      <w:pPr>
        <w:widowControl w:val="0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Кроме того,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в этом случае равен квадрату коэффициента корреляции между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 и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20" w:line="240" w:lineRule="auto"/>
        <w:ind w:left="72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Как следствие, в этом случае 0 ≤ </w:t>
          </w:r>
        </w:sdtContent>
      </w:sdt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≤ 1 </w:t>
          </w:r>
        </w:sdtContent>
      </w:sdt>
    </w:p>
    <w:p w:rsidR="00000000" w:rsidDel="00000000" w:rsidP="00000000" w:rsidRDefault="00000000" w:rsidRPr="00000000" w14:paraId="00000038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  <w:t xml:space="preserve">Выбросы и влиятельные значения</w:t>
      </w:r>
    </w:p>
    <w:p w:rsidR="00000000" w:rsidDel="00000000" w:rsidP="00000000" w:rsidRDefault="00000000" w:rsidRPr="00000000" w14:paraId="0000003A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 регрессии выбросом (outlier) называется пара x, y с большой (по модулю) невязкой.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Точнее: обычно выбросами называются те пары, для которых невязки выбиваются из нормального распределения, в то время как для большинства пар они хорошо соответствуют гипотезе нормальности.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Влиятельным (influential) значением называется пара x, y, сильно влияющая на параметры регрессии, то есть такая, после выкидывания которой параметры регрессии существенно меняются.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1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spacing w:after="0" w:before="240" w:lineRule="auto"/>
        <w:ind w:left="0" w:firstLine="0"/>
        <w:rPr>
          <w:sz w:val="52"/>
          <w:szCs w:val="52"/>
          <w:shd w:fill="c9daf8" w:val="clear"/>
        </w:rPr>
      </w:pPr>
      <w:bookmarkStart w:colFirst="0" w:colLast="0" w:name="_heading=h.30j0zll" w:id="1"/>
      <w:bookmarkEnd w:id="1"/>
      <w:r w:rsidDel="00000000" w:rsidR="00000000" w:rsidRPr="00000000">
        <w:rPr>
          <w:sz w:val="52"/>
          <w:szCs w:val="52"/>
          <w:shd w:fill="c9daf8" w:val="clear"/>
          <w:rtl w:val="0"/>
        </w:rPr>
        <w:t xml:space="preserve">Дополнительные вопросы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Ящики с усами (box plots), какие элементы что могут означать?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4495320" cy="31237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320" cy="312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Гистограмма, график оценки плотности распределения, скрипичная диаграмма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Скрипичная диаграмма (violin plot) — как бы гибрид ящика с усами и графика оценки плотности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p-значение?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распределено p-значение при нулевой гипотезе?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Формула Байеса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189072" cy="2423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9072" cy="242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Отношение правдоподобия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Стандартное отклонение и стандартная ошибка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между односторонней и двусторонней альтернативами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Сведение сравнения выборок к таблице сопряжённости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одних условиях наблюдалось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успехов, а при других —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успехов. Как по числам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понять, достоверно ли влияние условий на число успехов?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Биномиальное распределение (формула, где возникает, матожидание и дисперсия)</w:t>
      </w:r>
    </w:p>
    <w:p w:rsidR="00000000" w:rsidDel="00000000" w:rsidP="00000000" w:rsidRDefault="00000000" w:rsidRPr="00000000" w14:paraId="00000052">
      <w:pPr>
        <w:widowControl w:val="0"/>
        <w:spacing w:line="192.00000000000003" w:lineRule="auto"/>
        <w:ind w:left="0" w:firstLine="0"/>
        <w:rPr/>
      </w:pPr>
      <w:r w:rsidDel="00000000" w:rsidR="00000000" w:rsidRPr="00000000">
        <w:rPr>
          <w:rtl w:val="0"/>
        </w:rPr>
        <w:t xml:space="preserve">Биномиально распределённая величина = число успехов 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независимых испытаниях; параметр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=вероятность успеха в одном испытании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Распределение Пуассона (формула, где возникает, матожидание и дисперсия)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Случайная величина, распределённая по Пуассону = число (достаточно) редких событий за (достаточно большой) промежуток времени или в (достаточно большой) области пространства.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Имеет один параметр: </w:t>
      </w:r>
      <w:r w:rsidDel="00000000" w:rsidR="00000000" w:rsidRPr="00000000">
        <w:rPr>
          <w:rtl w:val="0"/>
        </w:rPr>
        <w:t xml:space="preserve">λ — среднее число событий.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Вероятность наблюдать ровно k событий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Экспоненциальное распределение (формула для функции распределения, формула для плотности распределения, где возникает, матожидание и дисперсия)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Функция распределения </w:t>
      </w:r>
      <w:r w:rsidDel="00000000" w:rsidR="00000000" w:rsidRPr="00000000">
        <w:rPr/>
        <w:drawing>
          <wp:inline distB="19050" distT="19050" distL="19050" distR="19050">
            <wp:extent cx="1207080" cy="381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080" cy="3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 xml:space="preserve">Плотность распределения</w:t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9050" distT="19050" distL="19050" distR="19050">
            <wp:extent cx="2804760" cy="5810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760" cy="58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Нормальное распределение (формула для плотности распределения, в каких ситуациях возникает, при каких значениях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функция распределения 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) принимает значения 0,05 и 0,025)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Функция распределения - не имеет формулы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Плотность распределения </w:t>
      </w:r>
      <w:r w:rsidDel="00000000" w:rsidR="00000000" w:rsidRPr="00000000">
        <w:rPr/>
        <w:drawing>
          <wp:inline distB="19050" distT="19050" distL="19050" distR="19050">
            <wp:extent cx="1792783" cy="5464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4950"/>
                    <a:stretch>
                      <a:fillRect/>
                    </a:stretch>
                  </pic:blipFill>
                  <pic:spPr>
                    <a:xfrm>
                      <a:off x="0" y="0"/>
                      <a:ext cx="1792783" cy="54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Смысл параметров: μ — мат. ожидание,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— дисперсия.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σ часто называют стандартным отклонением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Нормальное распределение возникает везде, где величина представляет собой сумму большого количества элементов, вносящих приблизительно одинаковый вклад (без сильного доминирования небольшого числа из них)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before="170" w:line="240" w:lineRule="auto"/>
        <w:ind w:left="340.15748" w:hanging="268.15748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длина тела животных одной популяции, как правило, распределена нормально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before="170" w:line="240" w:lineRule="auto"/>
        <w:ind w:left="340.15748" w:hanging="268.15748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ошибки измерений в большинстве экспериментов распределены нормально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before="170" w:line="240" w:lineRule="auto"/>
        <w:ind w:left="340.15748" w:hanging="268.15748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количество крупинок в 1 кг сахарного песка распределено нормально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before="170" w:line="240" w:lineRule="auto"/>
        <w:ind w:left="340.15748" w:hanging="268.15748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число выпадений «орла» при бросании монеты 1 млн. раз распределено нормально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«Правило трёх сигм»: вероятность удалиться от среднего (в заранее заданную сторону)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 более чем на три стандартных отклонения – около одной тысячной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Перестановочные тесты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Простая альтернатива и оптимальный критерий Неймана – Пирсона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псевдослучайных чисел по заданной функции распределения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псевдослучайных чисел по заданной плотности распределения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(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XvUu5rsj/g0IrPF8v4yFjlNiA==">AMUW2mVjL/driPx0LFU0s804oZ4AMRxVR7CGUTp7obDWqihP/XG30JRDsRlyc8QYdXmbw7v/81O7vu/2TQjA/zQytaIlRLkIuiYOSI39TU1Q6vy9We395nEJjn265Daxpnuqb2gPf3BSTyZi2hIpeXrJeIRInaM88llCfoeqnlH8HgKwVSv+Xn4p7yNIDWIIB/DBuejci4lN4xH+jzhHLiJubRvDSnlw8LnhxrOyOZElYHW9ulUzGoIzhcRy4MqehDxCLxs5DmquJPwiS4OriNzcvcec7hAAMnpLfJ/73iuxdG4EMXl1NgNhuRUV9QbpSjZkmf8FvZaX6luFUsZ6RpgMujsU9lQj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