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4260a9f83fc085135fe5639a0fc757886ed4c20"/>
    <w:p>
      <w:pPr>
        <w:pStyle w:val="Heading1"/>
      </w:pPr>
      <w:r>
        <w:t xml:space="preserve">PROJECT 12 — EVTX ANALYSIS ADDENDUM &amp; SESSION HANDOVER</w:t>
      </w:r>
    </w:p>
    <w:p>
      <w:pPr>
        <w:pStyle w:val="FirstParagraph"/>
      </w:pPr>
      <w:r>
        <w:rPr>
          <w:bCs/>
          <w:b/>
        </w:rPr>
        <w:t xml:space="preserve">Document Type:</w:t>
      </w:r>
      <w:r>
        <w:t xml:space="preserve"> </w:t>
      </w:r>
      <w:r>
        <w:t xml:space="preserve">Formal Addendum + Handover Brief</w:t>
      </w:r>
      <w:r>
        <w:br/>
      </w:r>
      <w:r>
        <w:rPr>
          <w:bCs/>
          <w:b/>
        </w:rPr>
        <w:t xml:space="preserve">Date:</w:t>
      </w:r>
      <w:r>
        <w:t xml:space="preserve"> </w:t>
      </w:r>
      <w:r>
        <w:t xml:space="preserve">March 12, 2026</w:t>
      </w:r>
      <w:r>
        <w:br/>
      </w:r>
      <w:r>
        <w:rPr>
          <w:bCs/>
          <w:b/>
        </w:rPr>
        <w:t xml:space="preserve">Analyst:</w:t>
      </w:r>
      <w:r>
        <w:t xml:space="preserve"> </w:t>
      </w:r>
      <w:r>
        <w:t xml:space="preserve">Claude (Session 2 — Desktop/Web)</w:t>
      </w:r>
      <w:r>
        <w:br/>
      </w:r>
      <w:r>
        <w:rPr>
          <w:bCs/>
          <w:b/>
        </w:rPr>
        <w:t xml:space="preserve">Prior Session:</w:t>
      </w:r>
      <w:r>
        <w:t xml:space="preserve"> </w:t>
      </w:r>
      <w:r>
        <w:t xml:space="preserve">Claude (Session 1 — iOS App, crashed during analysis)</w:t>
      </w:r>
      <w:r>
        <w:br/>
      </w:r>
      <w:r>
        <w:rPr>
          <w:bCs/>
          <w:b/>
        </w:rPr>
        <w:t xml:space="preserve">Source File:</w:t>
      </w:r>
      <w:r>
        <w:t xml:space="preserve"> </w:t>
      </w:r>
      <w:r>
        <w:t xml:space="preserve">logs1.evtx (21 MB, Windows Security Event Log)</w:t>
      </w:r>
      <w:r>
        <w:br/>
      </w:r>
      <w:r>
        <w:rPr>
          <w:bCs/>
          <w:b/>
        </w:rPr>
        <w:t xml:space="preserve">Source Device:</w:t>
      </w:r>
      <w:r>
        <w:t xml:space="preserve"> </w:t>
      </w:r>
      <w:r>
        <w:t xml:space="preserve">LLOYD-MINI (WORKGROUP)</w:t>
      </w:r>
      <w:r>
        <w:br/>
      </w:r>
      <w:r>
        <w:rPr>
          <w:bCs/>
          <w:b/>
        </w:rPr>
        <w:t xml:space="preserve">Status:</w:t>
      </w:r>
      <w:r>
        <w:t xml:space="preserve"> </w:t>
      </w:r>
      <w:r>
        <w:t xml:space="preserve">INCIDENT ACTIVE — DO NOT REMEDIATE WITHOUT ISOLATED CLEAN MACHINE</w:t>
      </w:r>
    </w:p>
    <w:p>
      <w:r>
        <w:pict>
          <v:rect style="width:0;height:1.5pt" o:hralign="center" o:hrstd="t" o:hr="t"/>
        </w:pict>
      </w:r>
    </w:p>
    <w:bookmarkStart w:id="20" w:name="scope-of-this-session"/>
    <w:p>
      <w:pPr>
        <w:pStyle w:val="Heading2"/>
      </w:pPr>
      <w:r>
        <w:t xml:space="preserve">1. SCOPE OF THIS SESSION</w:t>
      </w:r>
    </w:p>
    <w:p>
      <w:pPr>
        <w:pStyle w:val="FirstParagraph"/>
      </w:pPr>
      <w:r>
        <w:t xml:space="preserve">This session received the raw</w:t>
      </w:r>
      <w:r>
        <w:t xml:space="preserve"> </w:t>
      </w:r>
      <w:r>
        <w:rPr>
          <w:rStyle w:val="VerbatimChar"/>
        </w:rPr>
        <w:t xml:space="preserve">logs1.evtx</w:t>
      </w:r>
      <w:r>
        <w:t xml:space="preserve"> </w:t>
      </w:r>
      <w:r>
        <w:t xml:space="preserve">binary file and six screenshots (IMG_0180–0185) documenting where the prior iOS app session crashed. The prior session had identified</w:t>
      </w:r>
      <w:r>
        <w:t xml:space="preserve"> </w:t>
      </w:r>
      <w:r>
        <w:t xml:space="preserve">“</w:t>
      </w:r>
      <w:r>
        <w:t xml:space="preserve">anomalous S-1-0-* SIDs</w:t>
      </w:r>
      <w:r>
        <w:t xml:space="preserve">”</w:t>
      </w:r>
      <w:r>
        <w:t xml:space="preserve"> </w:t>
      </w:r>
      <w:r>
        <w:t xml:space="preserve">and was attempting to decode them when the app repeatedly froze.</w:t>
      </w:r>
    </w:p>
    <w:p>
      <w:pPr>
        <w:pStyle w:val="BodyText"/>
      </w:pPr>
      <w:r>
        <w:t xml:space="preserve">This session performed independent binary analysis of the EVTX without relying on prior session conclusions. The</w:t>
      </w:r>
      <w:r>
        <w:t xml:space="preserve"> </w:t>
      </w:r>
      <w:r>
        <w:rPr>
          <w:rStyle w:val="VerbatimChar"/>
        </w:rPr>
        <w:t xml:space="preserve">python-evtx</w:t>
      </w:r>
      <w:r>
        <w:t xml:space="preserve"> </w:t>
      </w:r>
      <w:r>
        <w:t xml:space="preserve">library was unavailable (no network), so all parsing was done via raw binary struct extraction against the EVTX specification.</w:t>
      </w:r>
    </w:p>
    <w:p>
      <w:pPr>
        <w:pStyle w:val="BodyText"/>
      </w:pPr>
      <w:r>
        <w:rPr>
          <w:bCs/>
          <w:b/>
        </w:rPr>
        <w:t xml:space="preserve">Work performed:</w:t>
      </w:r>
    </w:p>
    <w:p>
      <w:pPr>
        <w:numPr>
          <w:ilvl w:val="0"/>
          <w:numId w:val="1001"/>
        </w:numPr>
        <w:pStyle w:val="Compact"/>
      </w:pPr>
      <w:r>
        <w:t xml:space="preserve">Full event record extraction (9,945 records parsed from binary)</w:t>
      </w:r>
    </w:p>
    <w:p>
      <w:pPr>
        <w:numPr>
          <w:ilvl w:val="0"/>
          <w:numId w:val="1001"/>
        </w:numPr>
        <w:pStyle w:val="Compact"/>
      </w:pPr>
      <w:r>
        <w:t xml:space="preserve">Timestamp range and per-second event density mapping</w:t>
      </w:r>
    </w:p>
    <w:p>
      <w:pPr>
        <w:numPr>
          <w:ilvl w:val="0"/>
          <w:numId w:val="1001"/>
        </w:numPr>
        <w:pStyle w:val="Compact"/>
      </w:pPr>
      <w:r>
        <w:t xml:space="preserve">RecordID sequence analysis (gaps, duplicates, reversals)</w:t>
      </w:r>
    </w:p>
    <w:p>
      <w:pPr>
        <w:numPr>
          <w:ilvl w:val="0"/>
          <w:numId w:val="1001"/>
        </w:numPr>
        <w:pStyle w:val="Compact"/>
      </w:pPr>
      <w:r>
        <w:t xml:space="preserve">Binary SID extraction (both text-form and structural)</w:t>
      </w:r>
    </w:p>
    <w:p>
      <w:pPr>
        <w:numPr>
          <w:ilvl w:val="0"/>
          <w:numId w:val="1001"/>
        </w:numPr>
        <w:pStyle w:val="Compact"/>
      </w:pPr>
      <w:r>
        <w:t xml:space="preserve">Machine SID and RID identification</w:t>
      </w:r>
    </w:p>
    <w:p>
      <w:pPr>
        <w:numPr>
          <w:ilvl w:val="0"/>
          <w:numId w:val="1001"/>
        </w:numPr>
        <w:pStyle w:val="Compact"/>
      </w:pPr>
      <w:r>
        <w:t xml:space="preserve">Logon session SID search</w:t>
      </w:r>
    </w:p>
    <w:p>
      <w:pPr>
        <w:numPr>
          <w:ilvl w:val="0"/>
          <w:numId w:val="1001"/>
        </w:numPr>
        <w:pStyle w:val="Compact"/>
      </w:pPr>
      <w:r>
        <w:t xml:space="preserve">IPv4/IPv6/Teredo address extraction (text and binary)</w:t>
      </w:r>
    </w:p>
    <w:p>
      <w:pPr>
        <w:numPr>
          <w:ilvl w:val="0"/>
          <w:numId w:val="1001"/>
        </w:numPr>
        <w:pStyle w:val="Compact"/>
      </w:pPr>
      <w:r>
        <w:t xml:space="preserve">BinXML UTF-16LE string extraction</w:t>
      </w:r>
    </w:p>
    <w:p>
      <w:pPr>
        <w:numPr>
          <w:ilvl w:val="0"/>
          <w:numId w:val="1001"/>
        </w:numPr>
        <w:pStyle w:val="Compact"/>
      </w:pPr>
      <w:r>
        <w:t xml:space="preserve">EventID distribution by chunk (262 chunks analysed)</w:t>
      </w:r>
    </w:p>
    <w:p>
      <w:pPr>
        <w:numPr>
          <w:ilvl w:val="0"/>
          <w:numId w:val="1001"/>
        </w:numPr>
        <w:pStyle w:val="Compact"/>
      </w:pPr>
      <w:r>
        <w:t xml:space="preserve">Per-phase EventID breakdown across attack timeline</w:t>
      </w:r>
    </w:p>
    <w:p>
      <w:pPr>
        <w:numPr>
          <w:ilvl w:val="0"/>
          <w:numId w:val="1001"/>
        </w:numPr>
        <w:pStyle w:val="Compact"/>
      </w:pPr>
      <w:r>
        <w:t xml:space="preserve">Process creation (4688), process assignment (4696), and service install (4697) record isolation</w:t>
      </w:r>
    </w:p>
    <w:p>
      <w:pPr>
        <w:numPr>
          <w:ilvl w:val="0"/>
          <w:numId w:val="1001"/>
        </w:numPr>
        <w:pStyle w:val="Compact"/>
      </w:pPr>
      <w:r>
        <w:t xml:space="preserve">Computer name extraction from event metadata</w:t>
      </w:r>
    </w:p>
    <w:p>
      <w:r>
        <w:pict>
          <v:rect style="width:0;height:1.5pt" o:hralign="center" o:hrstd="t" o:hr="t"/>
        </w:pict>
      </w:r>
    </w:p>
    <w:bookmarkEnd w:id="20"/>
    <w:bookmarkStart w:id="23" w:name="retractions-prior-session-errors"/>
    <w:p>
      <w:pPr>
        <w:pStyle w:val="Heading2"/>
      </w:pPr>
      <w:r>
        <w:t xml:space="preserve">2. RETRACTIONS — PRIOR SESSION ERRORS</w:t>
      </w:r>
    </w:p>
    <w:bookmarkStart w:id="21" w:name="false-positive-anomalous-s-1-0--sids"/>
    <w:p>
      <w:pPr>
        <w:pStyle w:val="Heading3"/>
      </w:pPr>
      <w:r>
        <w:t xml:space="preserve">2.1 FALSE POSITIVE:</w:t>
      </w:r>
      <w:r>
        <w:t xml:space="preserve"> </w:t>
      </w:r>
      <w:r>
        <w:t xml:space="preserve">“</w:t>
      </w:r>
      <w:r>
        <w:t xml:space="preserve">Anomalous S-1-0-* SIDs</w:t>
      </w:r>
      <w:r>
        <w:t xml:space="preserve">”</w:t>
      </w:r>
    </w:p>
    <w:p>
      <w:pPr>
        <w:pStyle w:val="FirstParagraph"/>
      </w:pPr>
      <w:r>
        <w:rPr>
          <w:bCs/>
          <w:b/>
        </w:rPr>
        <w:t xml:space="preserve">Prior claim:</w:t>
      </w:r>
      <w:r>
        <w:t xml:space="preserve"> </w:t>
      </w:r>
      <w:r>
        <w:t xml:space="preserve">The previous session identified SIDs under the NULL authority (S-1-0) with large sub-authority values, including the recurring value 31238035. It proposed these were</w:t>
      </w:r>
      <w:r>
        <w:t xml:space="preserve"> </w:t>
      </w:r>
      <w:r>
        <w:t xml:space="preserve">“</w:t>
      </w:r>
      <w:r>
        <w:t xml:space="preserve">fabricated</w:t>
      </w:r>
      <w:r>
        <w:t xml:space="preserve">”</w:t>
      </w:r>
      <w:r>
        <w:t xml:space="preserve"> </w:t>
      </w:r>
      <w:r>
        <w:t xml:space="preserve">SIDs and noted the first 5 digits (31238) were close to the confirmed rootkit namespace prefix 31239.</w:t>
      </w:r>
    </w:p>
    <w:p>
      <w:pPr>
        <w:pStyle w:val="BodyText"/>
      </w:pPr>
      <w:r>
        <w:rPr>
          <w:bCs/>
          <w:b/>
        </w:rPr>
        <w:t xml:space="preserve">Correction:</w:t>
      </w:r>
      <w:r>
        <w:t xml:space="preserve"> </w:t>
      </w:r>
      <w:r>
        <w:t xml:space="preserve">31238035 in decimal = 0x01DCA793 in hexadecimal. This is the</w:t>
      </w:r>
      <w:r>
        <w:t xml:space="preserve"> </w:t>
      </w:r>
      <w:r>
        <w:rPr>
          <w:bCs/>
          <w:b/>
        </w:rPr>
        <w:t xml:space="preserve">high DWORD of every Windows FILETIME on February 27, 2026</w:t>
      </w:r>
      <w:r>
        <w:t xml:space="preserve">. The binary SID scanner was matching the byte 0x01 (which happens to equal SID revision 1) at the start of FILETIME high dwords, then interpreting the subsequent timestamp bytes as SID sub-authority fields.</w:t>
      </w:r>
    </w:p>
    <w:p>
      <w:pPr>
        <w:pStyle w:val="BodyText"/>
      </w:pPr>
      <w:r>
        <w:rPr>
          <w:bCs/>
          <w:b/>
        </w:rPr>
        <w:t xml:space="preserve">Evidence:</w:t>
      </w:r>
    </w:p>
    <w:p>
      <w:pPr>
        <w:numPr>
          <w:ilvl w:val="0"/>
          <w:numId w:val="1002"/>
        </w:numPr>
        <w:pStyle w:val="Compact"/>
      </w:pPr>
      <w:r>
        <w:t xml:space="preserve">The value appears at 8,594 offsets throughout the file — far too many for discrete SIDs</w:t>
      </w:r>
    </w:p>
    <w:p>
      <w:pPr>
        <w:numPr>
          <w:ilvl w:val="0"/>
          <w:numId w:val="1002"/>
        </w:numPr>
        <w:pStyle w:val="Compact"/>
      </w:pPr>
      <w:r>
        <w:t xml:space="preserve">The</w:t>
      </w:r>
      <w:r>
        <w:t xml:space="preserve"> </w:t>
      </w:r>
      <w:r>
        <w:t xml:space="preserve">“</w:t>
      </w:r>
      <w:r>
        <w:t xml:space="preserve">progressive chain</w:t>
      </w:r>
      <w:r>
        <w:t xml:space="preserve">”</w:t>
      </w:r>
      <w:r>
        <w:t xml:space="preserve"> </w:t>
      </w:r>
      <w:r>
        <w:t xml:space="preserve">pattern (each successive</w:t>
      </w:r>
      <w:r>
        <w:t xml:space="preserve"> </w:t>
      </w:r>
      <w:r>
        <w:t xml:space="preserve">“</w:t>
      </w:r>
      <w:r>
        <w:t xml:space="preserve">SID</w:t>
      </w:r>
      <w:r>
        <w:t xml:space="preserve">”</w:t>
      </w:r>
      <w:r>
        <w:t xml:space="preserve"> </w:t>
      </w:r>
      <w:r>
        <w:t xml:space="preserve">adding one more sub-authority) is characteristic of a parser reading a fixed binary blob at incrementally larger byte lengths, not finding separate data structures</w:t>
      </w:r>
    </w:p>
    <w:p>
      <w:pPr>
        <w:numPr>
          <w:ilvl w:val="0"/>
          <w:numId w:val="1002"/>
        </w:numPr>
        <w:pStyle w:val="Compact"/>
      </w:pPr>
      <w:r>
        <w:t xml:space="preserve">Direct FILETIME verification: bytes</w:t>
      </w:r>
      <w:r>
        <w:t xml:space="preserve"> </w:t>
      </w:r>
      <w:r>
        <w:rPr>
          <w:rStyle w:val="VerbatimChar"/>
        </w:rPr>
        <w:t xml:space="preserve">2A 33 19 33 93 A7 DC 01</w:t>
      </w:r>
      <w:r>
        <w:t xml:space="preserve"> </w:t>
      </w:r>
      <w:r>
        <w:t xml:space="preserve">decode as FILETIME</w:t>
      </w:r>
      <w:r>
        <w:t xml:space="preserve"> </w:t>
      </w:r>
      <w:r>
        <w:rPr>
          <w:rStyle w:val="VerbatimChar"/>
        </w:rPr>
        <w:t xml:space="preserve">0x01DCA79333193342A</w:t>
      </w:r>
      <w:r>
        <w:t xml:space="preserve"> </w:t>
      </w:r>
      <w:r>
        <w:t xml:space="preserve">=</w:t>
      </w:r>
      <w:r>
        <w:t xml:space="preserve"> </w:t>
      </w:r>
      <w:r>
        <w:rPr>
          <w:rStyle w:val="VerbatimChar"/>
        </w:rPr>
        <w:t xml:space="preserve">2026-02-27 02:45:57 UTC</w:t>
      </w:r>
      <w:r>
        <w:t xml:space="preserve">, confirming these are timestamp fields</w:t>
      </w:r>
    </w:p>
    <w:p>
      <w:pPr>
        <w:pStyle w:val="FirstParagraph"/>
      </w:pPr>
      <w:r>
        <w:rPr>
          <w:bCs/>
          <w:b/>
        </w:rPr>
        <w:t xml:space="preserve">The proximity of</w:t>
      </w:r>
      <w:r>
        <w:rPr>
          <w:bCs/>
          <w:b/>
        </w:rPr>
        <w:t xml:space="preserve"> </w:t>
      </w:r>
      <w:r>
        <w:rPr>
          <w:bCs/>
          <w:b/>
        </w:rPr>
        <w:t xml:space="preserve">“</w:t>
      </w:r>
      <w:r>
        <w:rPr>
          <w:bCs/>
          <w:b/>
        </w:rPr>
        <w:t xml:space="preserve">31238</w:t>
      </w:r>
      <w:r>
        <w:rPr>
          <w:bCs/>
          <w:b/>
        </w:rPr>
        <w:t xml:space="preserve">”</w:t>
      </w:r>
      <w:r>
        <w:rPr>
          <w:bCs/>
          <w:b/>
        </w:rPr>
        <w:t xml:space="preserve"> </w:t>
      </w:r>
      <w:r>
        <w:rPr>
          <w:bCs/>
          <w:b/>
        </w:rPr>
        <w:t xml:space="preserve">to the rootkit namespace</w:t>
      </w:r>
      <w:r>
        <w:rPr>
          <w:bCs/>
          <w:b/>
        </w:rPr>
        <w:t xml:space="preserve"> </w:t>
      </w:r>
      <w:r>
        <w:rPr>
          <w:bCs/>
          <w:b/>
        </w:rPr>
        <w:t xml:space="preserve">“</w:t>
      </w:r>
      <w:r>
        <w:rPr>
          <w:bCs/>
          <w:b/>
        </w:rPr>
        <w:t xml:space="preserve">31239</w:t>
      </w:r>
      <w:r>
        <w:rPr>
          <w:bCs/>
          <w:b/>
        </w:rPr>
        <w:t xml:space="preserve">”</w:t>
      </w:r>
      <w:r>
        <w:rPr>
          <w:bCs/>
          <w:b/>
        </w:rPr>
        <w:t xml:space="preserve"> </w:t>
      </w:r>
      <w:r>
        <w:rPr>
          <w:bCs/>
          <w:b/>
        </w:rPr>
        <w:t xml:space="preserve">is coincidental.</w:t>
      </w:r>
      <w:r>
        <w:t xml:space="preserve"> </w:t>
      </w:r>
      <w:r>
        <w:t xml:space="preserve">The FILETIME high dword for any date in late February/early March 2026 falls in the 0x01DCA7xx range. No fabricated NULL-authority SIDs exist in this EVTX.</w:t>
      </w:r>
    </w:p>
    <w:bookmarkEnd w:id="21"/>
    <w:bookmarkStart w:id="22" w:name="X345835289307e85fa88d0835ab43d4ada351883"/>
    <w:p>
      <w:pPr>
        <w:pStyle w:val="Heading3"/>
      </w:pPr>
      <w:r>
        <w:t xml:space="preserve">2.2 FALSE POSITIVE: Teredo Address 2001:0000:3c65:893b:70c1:e449:b1cd:e0ee</w:t>
      </w:r>
    </w:p>
    <w:p>
      <w:pPr>
        <w:pStyle w:val="FirstParagraph"/>
      </w:pPr>
      <w:r>
        <w:rPr>
          <w:bCs/>
          <w:b/>
        </w:rPr>
        <w:t xml:space="preserve">Prior context:</w:t>
      </w:r>
      <w:r>
        <w:t xml:space="preserve"> </w:t>
      </w:r>
      <w:r>
        <w:t xml:space="preserve">The binary scan found four byte sequences matching the Teredo prefix</w:t>
      </w:r>
      <w:r>
        <w:t xml:space="preserve"> </w:t>
      </w:r>
      <w:r>
        <w:rPr>
          <w:rStyle w:val="VerbatimChar"/>
        </w:rPr>
        <w:t xml:space="preserve">20 01 00 00</w:t>
      </w:r>
      <w:r>
        <w:t xml:space="preserve">. Address #2 (at file offset 0xE6CA99) decoded to a non-Microsoft Teredo server (60.101.137.59) in the APNIC range.</w:t>
      </w:r>
    </w:p>
    <w:p>
      <w:pPr>
        <w:pStyle w:val="BodyText"/>
      </w:pPr>
      <w:r>
        <w:rPr>
          <w:bCs/>
          <w:b/>
        </w:rPr>
        <w:t xml:space="preserve">Correction:</w:t>
      </w:r>
      <w:r>
        <w:t xml:space="preserve"> </w:t>
      </w:r>
      <w:r>
        <w:t xml:space="preserve">Offset 0xE6CA99 is in the BinXML message string template area (71.9% into the file, well past event record data). The surrounding context is the UTF-16LE string</w:t>
      </w:r>
      <w:r>
        <w:t xml:space="preserve"> </w:t>
      </w:r>
      <w:r>
        <w:rPr>
          <w:rStyle w:val="VerbatimChar"/>
        </w:rPr>
        <w:t xml:space="preserve">"Windows Firewall: callout%%16388"</w:t>
      </w:r>
      <w:r>
        <w:t xml:space="preserve"> </w:t>
      </w:r>
      <w:r>
        <w:t xml:space="preserve">followed by BinXML substitution tokens. The bytes</w:t>
      </w:r>
      <w:r>
        <w:t xml:space="preserve"> </w:t>
      </w:r>
      <w:r>
        <w:rPr>
          <w:rStyle w:val="VerbatimChar"/>
        </w:rPr>
        <w:t xml:space="preserve">20 01</w:t>
      </w:r>
      <w:r>
        <w:t xml:space="preserve"> </w:t>
      </w:r>
      <w:r>
        <w:t xml:space="preserve">at this offset represent U+0120 (Ġ) in the UTF-16LE stream or a BinXML control token — not an IPv6 address prefix.</w:t>
      </w:r>
    </w:p>
    <w:p>
      <w:pPr>
        <w:pStyle w:val="BodyText"/>
      </w:pPr>
      <w:r>
        <w:t xml:space="preserve">The remaining three Teredo candidates were also false positives: Address #1 contained FILETIME bytes (</w:t>
      </w:r>
      <w:r>
        <w:rPr>
          <w:rStyle w:val="VerbatimChar"/>
        </w:rPr>
        <w:t xml:space="preserve">93a7:dc01</w:t>
      </w:r>
      <w:r>
        <w:t xml:space="preserve">), Addresses #3 and #4 contained UTF-16LE</w:t>
      </w:r>
      <w:r>
        <w:t xml:space="preserve"> </w:t>
      </w:r>
      <w:r>
        <w:t xml:space="preserve">“</w:t>
      </w:r>
      <w:r>
        <w:t xml:space="preserve">Mi</w:t>
      </w:r>
      <w:r>
        <w:t xml:space="preserve">”</w:t>
      </w:r>
      <w:r>
        <w:t xml:space="preserve"> </w:t>
      </w:r>
      <w:r>
        <w:t xml:space="preserve">(</w:t>
      </w:r>
      <w:r>
        <w:rPr>
          <w:rStyle w:val="VerbatimChar"/>
        </w:rPr>
        <w:t xml:space="preserve">004d:0069</w:t>
      </w:r>
      <w:r>
        <w:t xml:space="preserve">, from</w:t>
      </w:r>
      <w:r>
        <w:t xml:space="preserve"> </w:t>
      </w:r>
      <w:r>
        <w:t xml:space="preserve">“</w:t>
      </w:r>
      <w:r>
        <w:t xml:space="preserve">Microsoft</w:t>
      </w:r>
      <w:r>
        <w:t xml:space="preserve">”</w:t>
      </w:r>
      <w:r>
        <w:t xml:space="preserve">).</w:t>
      </w:r>
    </w:p>
    <w:p>
      <w:pPr>
        <w:pStyle w:val="BodyText"/>
      </w:pPr>
      <w:r>
        <w:rPr>
          <w:bCs/>
          <w:b/>
        </w:rPr>
        <w:t xml:space="preserve">No real Teredo addresses were found in the event record data.</w:t>
      </w:r>
    </w:p>
    <w:p>
      <w:r>
        <w:pict>
          <v:rect style="width:0;height:1.5pt" o:hralign="center" o:hrstd="t" o:hr="t"/>
        </w:pict>
      </w:r>
    </w:p>
    <w:bookmarkEnd w:id="22"/>
    <w:bookmarkEnd w:id="23"/>
    <w:bookmarkStart w:id="31" w:name="confirmed-findings"/>
    <w:p>
      <w:pPr>
        <w:pStyle w:val="Heading2"/>
      </w:pPr>
      <w:r>
        <w:t xml:space="preserve">3. CONFIRMED FINDINGS</w:t>
      </w:r>
    </w:p>
    <w:bookmarkStart w:id="24" w:name="file-identity-and-date"/>
    <w:p>
      <w:pPr>
        <w:pStyle w:val="Heading3"/>
      </w:pPr>
      <w:r>
        <w:t xml:space="preserve">3.1 File Identity and Date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Computer</w:t>
            </w:r>
          </w:p>
        </w:tc>
        <w:tc>
          <w:tcPr/>
          <w:p>
            <w:pPr>
              <w:pStyle w:val="Compact"/>
              <w:jc w:val="left"/>
            </w:pPr>
            <w:r>
              <w:t xml:space="preserve">LLOYD-MINI (WORKGROUP)</w:t>
            </w:r>
          </w:p>
        </w:tc>
      </w:tr>
      <w:tr>
        <w:tc>
          <w:tcPr/>
          <w:p>
            <w:pPr>
              <w:pStyle w:val="Compact"/>
              <w:jc w:val="left"/>
            </w:pPr>
            <w:r>
              <w:t xml:space="preserve">Machine SID</w:t>
            </w:r>
          </w:p>
        </w:tc>
        <w:tc>
          <w:tcPr/>
          <w:p>
            <w:pPr>
              <w:pStyle w:val="Compact"/>
              <w:jc w:val="left"/>
            </w:pPr>
            <w:r>
              <w:t xml:space="preserve">S-1-5-21-68328329-1459935384-2218511726</w:t>
            </w:r>
          </w:p>
        </w:tc>
      </w:tr>
      <w:tr>
        <w:tc>
          <w:tcPr/>
          <w:p>
            <w:pPr>
              <w:pStyle w:val="Compact"/>
              <w:jc w:val="left"/>
            </w:pPr>
            <w:r>
              <w:t xml:space="preserve">User RID</w:t>
            </w:r>
          </w:p>
        </w:tc>
        <w:tc>
          <w:tcPr/>
          <w:p>
            <w:pPr>
              <w:pStyle w:val="Compact"/>
              <w:jc w:val="left"/>
            </w:pPr>
            <w:r>
              <w:t xml:space="preserve">1001 (first local user account)</w:t>
            </w:r>
          </w:p>
        </w:tc>
      </w:tr>
      <w:tr>
        <w:tc>
          <w:tcPr/>
          <w:p>
            <w:pPr>
              <w:pStyle w:val="Compact"/>
              <w:jc w:val="left"/>
            </w:pPr>
            <w:r>
              <w:t xml:space="preserve">Date range</w:t>
            </w:r>
          </w:p>
        </w:tc>
        <w:tc>
          <w:tcPr/>
          <w:p>
            <w:pPr>
              <w:pStyle w:val="Compact"/>
              <w:jc w:val="left"/>
            </w:pPr>
            <w:r>
              <w:rPr>
                <w:bCs/>
                <w:b/>
              </w:rPr>
              <w:t xml:space="preserve">February 27, 2026</w:t>
            </w:r>
            <w:r>
              <w:t xml:space="preserve"> </w:t>
            </w:r>
            <w:r>
              <w:t xml:space="preserve">— 02:45:57 to 03:53:34 UTC</w:t>
            </w:r>
          </w:p>
        </w:tc>
      </w:tr>
      <w:tr>
        <w:tc>
          <w:tcPr/>
          <w:p>
            <w:pPr>
              <w:pStyle w:val="Compact"/>
              <w:jc w:val="left"/>
            </w:pPr>
            <w:r>
              <w:t xml:space="preserve">Total events</w:t>
            </w:r>
          </w:p>
        </w:tc>
        <w:tc>
          <w:tcPr/>
          <w:p>
            <w:pPr>
              <w:pStyle w:val="Compact"/>
              <w:jc w:val="left"/>
            </w:pPr>
            <w:r>
              <w:t xml:space="preserve">9,945</w:t>
            </w:r>
          </w:p>
        </w:tc>
      </w:tr>
      <w:tr>
        <w:tc>
          <w:tcPr/>
          <w:p>
            <w:pPr>
              <w:pStyle w:val="Compact"/>
              <w:jc w:val="left"/>
            </w:pPr>
            <w:r>
              <w:t xml:space="preserve">RecordID range</w:t>
            </w:r>
          </w:p>
        </w:tc>
        <w:tc>
          <w:tcPr/>
          <w:p>
            <w:pPr>
              <w:pStyle w:val="Compact"/>
              <w:jc w:val="left"/>
            </w:pPr>
            <w:r>
              <w:t xml:space="preserve">1 to 9,925</w:t>
            </w:r>
          </w:p>
        </w:tc>
      </w:tr>
    </w:tbl>
    <w:p>
      <w:pPr>
        <w:pStyle w:val="BodyText"/>
      </w:pPr>
      <w:r>
        <w:rPr>
          <w:bCs/>
          <w:b/>
        </w:rPr>
        <w:t xml:space="preserve">DATE DISCREPANCY:</w:t>
      </w:r>
      <w:r>
        <w:t xml:space="preserve"> </w:t>
      </w:r>
      <w:r>
        <w:t xml:space="preserve">The project documentation references the March 1 attack as the primary incident. This EVTX covers February 27 only —</w:t>
      </w:r>
      <w:r>
        <w:t xml:space="preserve"> </w:t>
      </w:r>
      <w:r>
        <w:rPr>
          <w:bCs/>
          <w:b/>
        </w:rPr>
        <w:t xml:space="preserve">4 days earlier</w:t>
      </w:r>
      <w:r>
        <w:t xml:space="preserve">. The same attack pattern (credential harvest → recon → attack launch → WFP storm) executed on Feb 27. This is either an earlier compromise event on the same device or the ring-buffer contents from the original infection session.</w:t>
      </w:r>
    </w:p>
    <w:bookmarkEnd w:id="24"/>
    <w:bookmarkStart w:id="25" w:name="event-timeline-five-phases"/>
    <w:p>
      <w:pPr>
        <w:pStyle w:val="Heading3"/>
      </w:pPr>
      <w:r>
        <w:t xml:space="preserve">3.2 Event Timeline — Five Phases</w:t>
      </w:r>
    </w:p>
    <w:tbl>
      <w:tblPr>
        <w:tblStyle w:val="Table"/>
        <w:tblW w:type="pct" w:w="5000"/>
        <w:tblLook w:firstRow="1" w:lastRow="0" w:firstColumn="0" w:lastColumn="0" w:noHBand="0" w:noVBand="0" w:val="0020"/>
        <w:jc w:val="start"/>
      </w:tblPr>
      <w:tblGrid>
        <w:gridCol w:w="1421"/>
        <w:gridCol w:w="2233"/>
        <w:gridCol w:w="1624"/>
        <w:gridCol w:w="2640"/>
      </w:tblGrid>
      <w:tr>
        <w:trPr>
          <w:tblHeader w:val="true"/>
        </w:trPr>
        <w:tc>
          <w:tcPr/>
          <w:p>
            <w:pPr>
              <w:pStyle w:val="Compact"/>
              <w:jc w:val="left"/>
            </w:pPr>
            <w:r>
              <w:t xml:space="preserve">Phase</w:t>
            </w:r>
          </w:p>
        </w:tc>
        <w:tc>
          <w:tcPr/>
          <w:p>
            <w:pPr>
              <w:pStyle w:val="Compact"/>
              <w:jc w:val="left"/>
            </w:pPr>
            <w:r>
              <w:t xml:space="preserve">Time (UTC)</w:t>
            </w:r>
          </w:p>
        </w:tc>
        <w:tc>
          <w:tcPr/>
          <w:p>
            <w:pPr>
              <w:pStyle w:val="Compact"/>
              <w:jc w:val="left"/>
            </w:pPr>
            <w:r>
              <w:t xml:space="preserve">Events</w:t>
            </w:r>
          </w:p>
        </w:tc>
        <w:tc>
          <w:tcPr/>
          <w:p>
            <w:pPr>
              <w:pStyle w:val="Compact"/>
              <w:jc w:val="left"/>
            </w:pPr>
            <w:r>
              <w:t xml:space="preserve">Description</w:t>
            </w:r>
          </w:p>
        </w:tc>
      </w:tr>
      <w:tr>
        <w:tc>
          <w:tcPr/>
          <w:p>
            <w:pPr>
              <w:pStyle w:val="Compact"/>
              <w:jc w:val="left"/>
            </w:pPr>
            <w:r>
              <w:t xml:space="preserve">Boot/Init</w:t>
            </w:r>
          </w:p>
        </w:tc>
        <w:tc>
          <w:tcPr/>
          <w:p>
            <w:pPr>
              <w:pStyle w:val="Compact"/>
              <w:jc w:val="left"/>
            </w:pPr>
            <w:r>
              <w:t xml:space="preserve">02:45:57</w:t>
            </w:r>
          </w:p>
        </w:tc>
        <w:tc>
          <w:tcPr/>
          <w:p>
            <w:pPr>
              <w:pStyle w:val="Compact"/>
              <w:jc w:val="left"/>
            </w:pPr>
            <w:r>
              <w:t xml:space="preserve">82 in 1 sec</w:t>
            </w:r>
          </w:p>
        </w:tc>
        <w:tc>
          <w:tcPr/>
          <w:p>
            <w:pPr>
              <w:pStyle w:val="Compact"/>
              <w:jc w:val="left"/>
            </w:pPr>
            <w:r>
              <w:t xml:space="preserve">Standard WFP policy load on boot</w:t>
            </w:r>
          </w:p>
        </w:tc>
      </w:tr>
      <w:tr>
        <w:tc>
          <w:tcPr/>
          <w:p>
            <w:pPr>
              <w:pStyle w:val="Compact"/>
              <w:jc w:val="left"/>
            </w:pPr>
            <w:r>
              <w:t xml:space="preserve">Harvest Onset</w:t>
            </w:r>
          </w:p>
        </w:tc>
        <w:tc>
          <w:tcPr/>
          <w:p>
            <w:pPr>
              <w:pStyle w:val="Compact"/>
              <w:jc w:val="left"/>
            </w:pPr>
            <w:r>
              <w:t xml:space="preserve">02:51:14–02:51:35</w:t>
            </w:r>
          </w:p>
        </w:tc>
        <w:tc>
          <w:tcPr/>
          <w:p>
            <w:pPr>
              <w:pStyle w:val="Compact"/>
              <w:jc w:val="left"/>
            </w:pPr>
            <w:r>
              <w:t xml:space="preserve">4,093 in 21 sec</w:t>
            </w:r>
          </w:p>
        </w:tc>
        <w:tc>
          <w:tcPr/>
          <w:p>
            <w:pPr>
              <w:pStyle w:val="Compact"/>
              <w:jc w:val="left"/>
            </w:pPr>
            <w:r>
              <w:t xml:space="preserve">Massive WFP manipulation surge. Aligns with documented 02:51 harvest start</w:t>
            </w:r>
          </w:p>
        </w:tc>
      </w:tr>
      <w:tr>
        <w:tc>
          <w:tcPr/>
          <w:p>
            <w:pPr>
              <w:pStyle w:val="Compact"/>
              <w:jc w:val="left"/>
            </w:pPr>
            <w:r>
              <w:t xml:space="preserve">Reconnaissance</w:t>
            </w:r>
          </w:p>
        </w:tc>
        <w:tc>
          <w:tcPr/>
          <w:p>
            <w:pPr>
              <w:pStyle w:val="Compact"/>
              <w:jc w:val="left"/>
            </w:pPr>
            <w:r>
              <w:t xml:space="preserve">02:53–03:42</w:t>
            </w:r>
          </w:p>
        </w:tc>
        <w:tc>
          <w:tcPr/>
          <w:p>
            <w:pPr>
              <w:pStyle w:val="Compact"/>
              <w:jc w:val="left"/>
            </w:pPr>
            <w:r>
              <w:t xml:space="preserve">Sporadic bursts</w:t>
            </w:r>
          </w:p>
        </w:tc>
        <w:tc>
          <w:tcPr/>
          <w:p>
            <w:pPr>
              <w:pStyle w:val="Compact"/>
              <w:jc w:val="left"/>
            </w:pPr>
            <w:r>
              <w:t xml:space="preserve">805 at 02:56:57, 837 at 03:23:20. Multiple 2–5 min gaps between actions</w:t>
            </w:r>
          </w:p>
        </w:tc>
      </w:tr>
      <w:tr>
        <w:tc>
          <w:tcPr/>
          <w:p>
            <w:pPr>
              <w:pStyle w:val="Compact"/>
              <w:jc w:val="left"/>
            </w:pPr>
            <w:r>
              <w:t xml:space="preserve">Attack Launch</w:t>
            </w:r>
          </w:p>
        </w:tc>
        <w:tc>
          <w:tcPr/>
          <w:p>
            <w:pPr>
              <w:pStyle w:val="Compact"/>
              <w:jc w:val="left"/>
            </w:pPr>
            <w:r>
              <w:t xml:space="preserve">03:42:20–03:42:44</w:t>
            </w:r>
          </w:p>
        </w:tc>
        <w:tc>
          <w:tcPr/>
          <w:p>
            <w:pPr>
              <w:pStyle w:val="Compact"/>
              <w:jc w:val="left"/>
            </w:pPr>
            <w:r>
              <w:t xml:space="preserve">2,129 in 24 sec</w:t>
            </w:r>
          </w:p>
        </w:tc>
        <w:tc>
          <w:tcPr/>
          <w:p>
            <w:pPr>
              <w:pStyle w:val="Compact"/>
              <w:jc w:val="left"/>
            </w:pPr>
            <w:r>
              <w:t xml:space="preserve">Attack launch (documented 03:42:04). Device offline at 03:42:44</w:t>
            </w:r>
          </w:p>
        </w:tc>
      </w:tr>
      <w:tr>
        <w:tc>
          <w:tcPr/>
          <w:p>
            <w:pPr>
              <w:pStyle w:val="Compact"/>
              <w:jc w:val="left"/>
            </w:pPr>
            <w:r>
              <w:t xml:space="preserve">Post-Incident</w:t>
            </w:r>
          </w:p>
        </w:tc>
        <w:tc>
          <w:tcPr/>
          <w:p>
            <w:pPr>
              <w:pStyle w:val="Compact"/>
              <w:jc w:val="left"/>
            </w:pPr>
            <w:r>
              <w:t xml:space="preserve">03:53:31–03:53:34</w:t>
            </w:r>
          </w:p>
        </w:tc>
        <w:tc>
          <w:tcPr/>
          <w:p>
            <w:pPr>
              <w:pStyle w:val="Compact"/>
              <w:jc w:val="left"/>
            </w:pPr>
            <w:r>
              <w:t xml:space="preserve">1,463+ in 3 sec</w:t>
            </w:r>
          </w:p>
        </w:tc>
        <w:tc>
          <w:tcPr/>
          <w:p>
            <w:pPr>
              <w:pStyle w:val="Compact"/>
              <w:jc w:val="left"/>
            </w:pPr>
            <w:r>
              <w:t xml:space="preserve">WFP storm + service install + anomalous EID 1536 burst</w:t>
            </w:r>
          </w:p>
        </w:tc>
      </w:tr>
    </w:tbl>
    <w:p>
      <w:pPr>
        <w:pStyle w:val="BodyText"/>
      </w:pPr>
      <w:r>
        <w:rPr>
          <w:bCs/>
          <w:b/>
        </w:rPr>
        <w:t xml:space="preserve">CRITICAL GAP:</w:t>
      </w:r>
      <w:r>
        <w:t xml:space="preserve"> </w:t>
      </w:r>
      <w:r>
        <w:t xml:space="preserve">636 seconds (10.6 minutes) of</w:t>
      </w:r>
      <w:r>
        <w:t xml:space="preserve"> </w:t>
      </w:r>
      <w:r>
        <w:rPr>
          <w:bCs/>
          <w:b/>
        </w:rPr>
        <w:t xml:space="preserve">zero logged events</w:t>
      </w:r>
      <w:r>
        <w:t xml:space="preserve"> </w:t>
      </w:r>
      <w:r>
        <w:t xml:space="preserve">between 03:42:50 and 03:53:26. The system logged nothing during this window — consistent with kernel-level compromise rendering the audit subsystem inoperative.</w:t>
      </w:r>
    </w:p>
    <w:bookmarkEnd w:id="25"/>
    <w:bookmarkStart w:id="26" w:name="eventid-distribution"/>
    <w:p>
      <w:pPr>
        <w:pStyle w:val="Heading3"/>
      </w:pPr>
      <w:r>
        <w:t xml:space="preserve">3.3 EventID Distribution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EventID</w:t>
            </w:r>
          </w:p>
        </w:tc>
        <w:tc>
          <w:tcPr/>
          <w:p>
            <w:pPr>
              <w:pStyle w:val="Compact"/>
              <w:jc w:val="left"/>
            </w:pPr>
            <w:r>
              <w:t xml:space="preserve">Count</w:t>
            </w:r>
          </w:p>
        </w:tc>
        <w:tc>
          <w:tcPr/>
          <w:p>
            <w:pPr>
              <w:pStyle w:val="Compact"/>
              <w:jc w:val="left"/>
            </w:pPr>
            <w:r>
              <w:t xml:space="preserve">Description</w:t>
            </w:r>
          </w:p>
        </w:tc>
      </w:tr>
      <w:tr>
        <w:tc>
          <w:tcPr/>
          <w:p>
            <w:pPr>
              <w:pStyle w:val="Compact"/>
              <w:jc w:val="left"/>
            </w:pPr>
            <w:r>
              <w:t xml:space="preserve">5447</w:t>
            </w:r>
          </w:p>
        </w:tc>
        <w:tc>
          <w:tcPr/>
          <w:p>
            <w:pPr>
              <w:pStyle w:val="Compact"/>
              <w:jc w:val="left"/>
            </w:pPr>
            <w:r>
              <w:t xml:space="preserve">5,922</w:t>
            </w:r>
          </w:p>
        </w:tc>
        <w:tc>
          <w:tcPr/>
          <w:p>
            <w:pPr>
              <w:pStyle w:val="Compact"/>
              <w:jc w:val="left"/>
            </w:pPr>
            <w:r>
              <w:t xml:space="preserve">WFP filter changed</w:t>
            </w:r>
          </w:p>
        </w:tc>
      </w:tr>
      <w:tr>
        <w:tc>
          <w:tcPr/>
          <w:p>
            <w:pPr>
              <w:pStyle w:val="Compact"/>
              <w:jc w:val="left"/>
            </w:pPr>
            <w:r>
              <w:t xml:space="preserve">5449</w:t>
            </w:r>
          </w:p>
        </w:tc>
        <w:tc>
          <w:tcPr/>
          <w:p>
            <w:pPr>
              <w:pStyle w:val="Compact"/>
              <w:jc w:val="left"/>
            </w:pPr>
            <w:r>
              <w:t xml:space="preserve">2,960</w:t>
            </w:r>
          </w:p>
        </w:tc>
        <w:tc>
          <w:tcPr/>
          <w:p>
            <w:pPr>
              <w:pStyle w:val="Compact"/>
              <w:jc w:val="left"/>
            </w:pPr>
            <w:r>
              <w:t xml:space="preserve">WFP provider context changed</w:t>
            </w:r>
          </w:p>
        </w:tc>
      </w:tr>
      <w:tr>
        <w:tc>
          <w:tcPr/>
          <w:p>
            <w:pPr>
              <w:pStyle w:val="Compact"/>
              <w:jc w:val="left"/>
            </w:pPr>
            <w:r>
              <w:rPr>
                <w:bCs/>
                <w:b/>
              </w:rPr>
              <w:t xml:space="preserve">1536</w:t>
            </w:r>
          </w:p>
        </w:tc>
        <w:tc>
          <w:tcPr/>
          <w:p>
            <w:pPr>
              <w:pStyle w:val="Compact"/>
              <w:jc w:val="left"/>
            </w:pPr>
            <w:r>
              <w:rPr>
                <w:bCs/>
                <w:b/>
              </w:rPr>
              <w:t xml:space="preserve">~210</w:t>
            </w:r>
          </w:p>
        </w:tc>
        <w:tc>
          <w:tcPr/>
          <w:p>
            <w:pPr>
              <w:pStyle w:val="Compact"/>
              <w:jc w:val="left"/>
            </w:pPr>
            <w:r>
              <w:rPr>
                <w:bCs/>
                <w:b/>
              </w:rPr>
              <w:t xml:space="preserve">NON-STANDARD — see Section 4</w:t>
            </w:r>
          </w:p>
        </w:tc>
      </w:tr>
      <w:tr>
        <w:tc>
          <w:tcPr/>
          <w:p>
            <w:pPr>
              <w:pStyle w:val="Compact"/>
              <w:jc w:val="left"/>
            </w:pPr>
            <w:r>
              <w:t xml:space="preserve">4670</w:t>
            </w:r>
          </w:p>
        </w:tc>
        <w:tc>
          <w:tcPr/>
          <w:p>
            <w:pPr>
              <w:pStyle w:val="Compact"/>
              <w:jc w:val="left"/>
            </w:pPr>
            <w:r>
              <w:t xml:space="preserve">255</w:t>
            </w:r>
          </w:p>
        </w:tc>
        <w:tc>
          <w:tcPr/>
          <w:p>
            <w:pPr>
              <w:pStyle w:val="Compact"/>
              <w:jc w:val="left"/>
            </w:pPr>
            <w:r>
              <w:t xml:space="preserve">Object permissions changed</w:t>
            </w:r>
          </w:p>
        </w:tc>
      </w:tr>
      <w:tr>
        <w:tc>
          <w:tcPr/>
          <w:p>
            <w:pPr>
              <w:pStyle w:val="Compact"/>
              <w:jc w:val="left"/>
            </w:pPr>
            <w:r>
              <w:rPr>
                <w:bCs/>
                <w:b/>
              </w:rPr>
              <w:t xml:space="preserve">1164</w:t>
            </w:r>
          </w:p>
        </w:tc>
        <w:tc>
          <w:tcPr/>
          <w:p>
            <w:pPr>
              <w:pStyle w:val="Compact"/>
              <w:jc w:val="left"/>
            </w:pPr>
            <w:r>
              <w:rPr>
                <w:bCs/>
                <w:b/>
              </w:rPr>
              <w:t xml:space="preserve">~262</w:t>
            </w:r>
          </w:p>
        </w:tc>
        <w:tc>
          <w:tcPr/>
          <w:p>
            <w:pPr>
              <w:pStyle w:val="Compact"/>
              <w:jc w:val="left"/>
            </w:pPr>
            <w:r>
              <w:rPr>
                <w:bCs/>
                <w:b/>
              </w:rPr>
              <w:t xml:space="preserve">One per chunk — see Section 4</w:t>
            </w:r>
          </w:p>
        </w:tc>
      </w:tr>
      <w:tr>
        <w:tc>
          <w:tcPr/>
          <w:p>
            <w:pPr>
              <w:pStyle w:val="Compact"/>
              <w:jc w:val="left"/>
            </w:pPr>
            <w:r>
              <w:t xml:space="preserve">4957</w:t>
            </w:r>
          </w:p>
        </w:tc>
        <w:tc>
          <w:tcPr/>
          <w:p>
            <w:pPr>
              <w:pStyle w:val="Compact"/>
              <w:jc w:val="left"/>
            </w:pPr>
            <w:r>
              <w:t xml:space="preserve">139</w:t>
            </w:r>
          </w:p>
        </w:tc>
        <w:tc>
          <w:tcPr/>
          <w:p>
            <w:pPr>
              <w:pStyle w:val="Compact"/>
              <w:jc w:val="left"/>
            </w:pPr>
            <w:r>
              <w:t xml:space="preserve">Firewall rule failed to apply</w:t>
            </w:r>
          </w:p>
        </w:tc>
      </w:tr>
      <w:tr>
        <w:tc>
          <w:tcPr/>
          <w:p>
            <w:pPr>
              <w:pStyle w:val="Compact"/>
              <w:jc w:val="left"/>
            </w:pPr>
            <w:r>
              <w:t xml:space="preserve">4948</w:t>
            </w:r>
          </w:p>
        </w:tc>
        <w:tc>
          <w:tcPr/>
          <w:p>
            <w:pPr>
              <w:pStyle w:val="Compact"/>
              <w:jc w:val="left"/>
            </w:pPr>
            <w:r>
              <w:t xml:space="preserve">59</w:t>
            </w:r>
          </w:p>
        </w:tc>
        <w:tc>
          <w:tcPr/>
          <w:p>
            <w:pPr>
              <w:pStyle w:val="Compact"/>
              <w:jc w:val="left"/>
            </w:pPr>
            <w:r>
              <w:t xml:space="preserve">Firewall rule deleted</w:t>
            </w:r>
          </w:p>
        </w:tc>
      </w:tr>
      <w:tr>
        <w:tc>
          <w:tcPr/>
          <w:p>
            <w:pPr>
              <w:pStyle w:val="Compact"/>
              <w:jc w:val="left"/>
            </w:pPr>
            <w:r>
              <w:t xml:space="preserve">4946</w:t>
            </w:r>
          </w:p>
        </w:tc>
        <w:tc>
          <w:tcPr/>
          <w:p>
            <w:pPr>
              <w:pStyle w:val="Compact"/>
              <w:jc w:val="left"/>
            </w:pPr>
            <w:r>
              <w:t xml:space="preserve">59</w:t>
            </w:r>
          </w:p>
        </w:tc>
        <w:tc>
          <w:tcPr/>
          <w:p>
            <w:pPr>
              <w:pStyle w:val="Compact"/>
              <w:jc w:val="left"/>
            </w:pPr>
            <w:r>
              <w:t xml:space="preserve">Firewall rule added</w:t>
            </w:r>
          </w:p>
        </w:tc>
      </w:tr>
      <w:tr>
        <w:tc>
          <w:tcPr/>
          <w:p>
            <w:pPr>
              <w:pStyle w:val="Compact"/>
              <w:jc w:val="left"/>
            </w:pPr>
            <w:r>
              <w:t xml:space="preserve">5441</w:t>
            </w:r>
          </w:p>
        </w:tc>
        <w:tc>
          <w:tcPr/>
          <w:p>
            <w:pPr>
              <w:pStyle w:val="Compact"/>
              <w:jc w:val="left"/>
            </w:pPr>
            <w:r>
              <w:t xml:space="preserve">47</w:t>
            </w:r>
          </w:p>
        </w:tc>
        <w:tc>
          <w:tcPr/>
          <w:p>
            <w:pPr>
              <w:pStyle w:val="Compact"/>
              <w:jc w:val="left"/>
            </w:pPr>
            <w:r>
              <w:t xml:space="preserve">WFP filter engine notification</w:t>
            </w:r>
          </w:p>
        </w:tc>
      </w:tr>
      <w:tr>
        <w:tc>
          <w:tcPr/>
          <w:p>
            <w:pPr>
              <w:pStyle w:val="Compact"/>
              <w:jc w:val="left"/>
            </w:pPr>
            <w:r>
              <w:t xml:space="preserve">4688</w:t>
            </w:r>
          </w:p>
        </w:tc>
        <w:tc>
          <w:tcPr/>
          <w:p>
            <w:pPr>
              <w:pStyle w:val="Compact"/>
              <w:jc w:val="left"/>
            </w:pPr>
            <w:r>
              <w:t xml:space="preserve">11</w:t>
            </w:r>
          </w:p>
        </w:tc>
        <w:tc>
          <w:tcPr/>
          <w:p>
            <w:pPr>
              <w:pStyle w:val="Compact"/>
              <w:jc w:val="left"/>
            </w:pPr>
            <w:r>
              <w:t xml:space="preserve">Process creation (all SYSTEM, all at 03:53)</w:t>
            </w:r>
          </w:p>
        </w:tc>
      </w:tr>
      <w:tr>
        <w:tc>
          <w:tcPr/>
          <w:p>
            <w:pPr>
              <w:pStyle w:val="Compact"/>
              <w:jc w:val="left"/>
            </w:pPr>
            <w:r>
              <w:t xml:space="preserve">4697</w:t>
            </w:r>
          </w:p>
        </w:tc>
        <w:tc>
          <w:tcPr/>
          <w:p>
            <w:pPr>
              <w:pStyle w:val="Compact"/>
              <w:jc w:val="left"/>
            </w:pPr>
            <w:r>
              <w:t xml:space="preserve">1</w:t>
            </w:r>
          </w:p>
        </w:tc>
        <w:tc>
          <w:tcPr/>
          <w:p>
            <w:pPr>
              <w:pStyle w:val="Compact"/>
              <w:jc w:val="left"/>
            </w:pPr>
            <w:r>
              <w:t xml:space="preserve">Service installed (03:53:34)</w:t>
            </w:r>
          </w:p>
        </w:tc>
      </w:tr>
      <w:tr>
        <w:tc>
          <w:tcPr/>
          <w:p>
            <w:pPr>
              <w:pStyle w:val="Compact"/>
              <w:jc w:val="left"/>
            </w:pPr>
            <w:r>
              <w:t xml:space="preserve">4696</w:t>
            </w:r>
          </w:p>
        </w:tc>
        <w:tc>
          <w:tcPr/>
          <w:p>
            <w:pPr>
              <w:pStyle w:val="Compact"/>
              <w:jc w:val="left"/>
            </w:pPr>
            <w:r>
              <w:t xml:space="preserve">1</w:t>
            </w:r>
          </w:p>
        </w:tc>
        <w:tc>
          <w:tcPr/>
          <w:p>
            <w:pPr>
              <w:pStyle w:val="Compact"/>
              <w:jc w:val="left"/>
            </w:pPr>
            <w:r>
              <w:t xml:space="preserve">Primary token assigned to process</w:t>
            </w:r>
          </w:p>
        </w:tc>
      </w:tr>
    </w:tbl>
    <w:bookmarkEnd w:id="26"/>
    <w:bookmarkStart w:id="27" w:name="sid-context"/>
    <w:p>
      <w:pPr>
        <w:pStyle w:val="Heading3"/>
      </w:pPr>
      <w:r>
        <w:t xml:space="preserve">3.4 SID Context</w:t>
      </w:r>
    </w:p>
    <w:tbl>
      <w:tblPr>
        <w:tblStyle w:val="Table"/>
        <w:tblW w:type="pct" w:w="5000"/>
        <w:tblLook w:firstRow="1" w:lastRow="0" w:firstColumn="0" w:lastColumn="0" w:noHBand="0" w:noVBand="0" w:val="0020"/>
        <w:jc w:val="start"/>
      </w:tblPr>
      <w:tblGrid>
        <w:gridCol w:w="1414"/>
        <w:gridCol w:w="3677"/>
        <w:gridCol w:w="2828"/>
      </w:tblGrid>
      <w:tr>
        <w:trPr>
          <w:tblHeader w:val="true"/>
        </w:trPr>
        <w:tc>
          <w:tcPr/>
          <w:p>
            <w:pPr>
              <w:pStyle w:val="Compact"/>
              <w:jc w:val="left"/>
            </w:pPr>
            <w:r>
              <w:t xml:space="preserve">SID</w:t>
            </w:r>
          </w:p>
        </w:tc>
        <w:tc>
          <w:tcPr/>
          <w:p>
            <w:pPr>
              <w:pStyle w:val="Compact"/>
              <w:jc w:val="left"/>
            </w:pPr>
            <w:r>
              <w:t xml:space="preserve">Occurrences</w:t>
            </w:r>
          </w:p>
        </w:tc>
        <w:tc>
          <w:tcPr/>
          <w:p>
            <w:pPr>
              <w:pStyle w:val="Compact"/>
              <w:jc w:val="left"/>
            </w:pPr>
            <w:r>
              <w:t xml:space="preserve">Identity</w:t>
            </w:r>
          </w:p>
        </w:tc>
      </w:tr>
      <w:tr>
        <w:tc>
          <w:tcPr/>
          <w:p>
            <w:pPr>
              <w:pStyle w:val="Compact"/>
              <w:jc w:val="left"/>
            </w:pPr>
            <w:r>
              <w:t xml:space="preserve">S-1-5-19 (LOCAL SERVICE)</w:t>
            </w:r>
          </w:p>
        </w:tc>
        <w:tc>
          <w:tcPr/>
          <w:p>
            <w:pPr>
              <w:pStyle w:val="Compact"/>
              <w:jc w:val="left"/>
            </w:pPr>
            <w:r>
              <w:t xml:space="preserve">11,464</w:t>
            </w:r>
          </w:p>
        </w:tc>
        <w:tc>
          <w:tcPr/>
          <w:p>
            <w:pPr>
              <w:pStyle w:val="Compact"/>
              <w:jc w:val="left"/>
            </w:pPr>
            <w:r>
              <w:t xml:space="preserve">WFP events running under LOCAL SERVICE during storms</w:t>
            </w:r>
          </w:p>
        </w:tc>
      </w:tr>
      <w:tr>
        <w:tc>
          <w:tcPr/>
          <w:p>
            <w:pPr>
              <w:pStyle w:val="Compact"/>
              <w:jc w:val="left"/>
            </w:pPr>
            <w:r>
              <w:t xml:space="preserve">S-1-5-18 (SYSTEM)</w:t>
            </w:r>
          </w:p>
        </w:tc>
        <w:tc>
          <w:tcPr/>
          <w:p>
            <w:pPr>
              <w:pStyle w:val="Compact"/>
              <w:jc w:val="left"/>
            </w:pPr>
            <w:r>
              <w:t xml:space="preserve">239</w:t>
            </w:r>
          </w:p>
        </w:tc>
        <w:tc>
          <w:tcPr/>
          <w:p>
            <w:pPr>
              <w:pStyle w:val="Compact"/>
              <w:jc w:val="left"/>
            </w:pPr>
            <w:r>
              <w:t xml:space="preserve">All process creation events run as SYSTEM</w:t>
            </w:r>
          </w:p>
        </w:tc>
      </w:tr>
      <w:tr>
        <w:tc>
          <w:tcPr/>
          <w:p>
            <w:pPr>
              <w:pStyle w:val="Compact"/>
              <w:jc w:val="left"/>
            </w:pPr>
            <w:r>
              <w:t xml:space="preserve">S-1-5-21-…-1001</w:t>
            </w:r>
          </w:p>
        </w:tc>
        <w:tc>
          <w:tcPr/>
          <w:p>
            <w:pPr>
              <w:pStyle w:val="Compact"/>
              <w:jc w:val="left"/>
            </w:pPr>
            <w:r>
              <w:t xml:space="preserve">160</w:t>
            </w:r>
          </w:p>
        </w:tc>
        <w:tc>
          <w:tcPr/>
          <w:p>
            <w:pPr>
              <w:pStyle w:val="Compact"/>
              <w:jc w:val="left"/>
            </w:pPr>
            <w:r>
              <w:t xml:space="preserve">Local user account (lloyd)</w:t>
            </w:r>
          </w:p>
        </w:tc>
      </w:tr>
      <w:tr>
        <w:tc>
          <w:tcPr/>
          <w:p>
            <w:pPr>
              <w:pStyle w:val="Compact"/>
              <w:jc w:val="left"/>
            </w:pPr>
            <w:r>
              <w:t xml:space="preserve">S-1-0-0</w:t>
            </w:r>
          </w:p>
        </w:tc>
        <w:tc>
          <w:tcPr/>
          <w:p>
            <w:pPr>
              <w:pStyle w:val="Compact"/>
              <w:jc w:val="left"/>
            </w:pPr>
            <w:r>
              <w:t xml:space="preserve">Present</w:t>
            </w:r>
          </w:p>
        </w:tc>
        <w:tc>
          <w:tcPr/>
          <w:p>
            <w:pPr>
              <w:pStyle w:val="Compact"/>
              <w:jc w:val="left"/>
            </w:pPr>
            <w:r>
              <w:t xml:space="preserve">NULL SID (expected in some events)</w:t>
            </w:r>
          </w:p>
        </w:tc>
      </w:tr>
    </w:tbl>
    <w:p>
      <w:pPr>
        <w:pStyle w:val="BodyText"/>
      </w:pPr>
      <w:r>
        <w:t xml:space="preserve">The 11,464 LOCAL SERVICE occurrences (exceeding total event count) indicate multiple SID references per WFP event record — expected for filter change events which reference both the subject and the filter owner.</w:t>
      </w:r>
    </w:p>
    <w:bookmarkEnd w:id="27"/>
    <w:bookmarkStart w:id="28" w:name="ring-buffer-confirmed"/>
    <w:p>
      <w:pPr>
        <w:pStyle w:val="Heading3"/>
      </w:pPr>
      <w:r>
        <w:t xml:space="preserve">3.5 Ring Buffer Confirmed</w:t>
      </w:r>
    </w:p>
    <w:p>
      <w:pPr>
        <w:numPr>
          <w:ilvl w:val="0"/>
          <w:numId w:val="1003"/>
        </w:numPr>
        <w:pStyle w:val="Compact"/>
      </w:pPr>
      <w:r>
        <w:t xml:space="preserve">15 RecordID reversals (later records with lower RecordIDs than earlier ones)</w:t>
      </w:r>
    </w:p>
    <w:p>
      <w:pPr>
        <w:numPr>
          <w:ilvl w:val="0"/>
          <w:numId w:val="1003"/>
        </w:numPr>
        <w:pStyle w:val="Compact"/>
      </w:pPr>
      <w:r>
        <w:t xml:space="preserve">12 duplicate RecordIDs, notably RecordID 9771 with 5 copies</w:t>
      </w:r>
    </w:p>
    <w:p>
      <w:pPr>
        <w:numPr>
          <w:ilvl w:val="0"/>
          <w:numId w:val="1003"/>
        </w:numPr>
        <w:pStyle w:val="Compact"/>
      </w:pPr>
      <w:r>
        <w:t xml:space="preserve">This confirms the Security log was cycling under write pressure — older records overwritten by newer ones</w:t>
      </w:r>
    </w:p>
    <w:bookmarkEnd w:id="28"/>
    <w:bookmarkStart w:id="29" w:name="post-blackout-deployment-sequence"/>
    <w:p>
      <w:pPr>
        <w:pStyle w:val="Heading3"/>
      </w:pPr>
      <w:r>
        <w:t xml:space="preserve">3.6 Post-Blackout Deployment Sequence</w:t>
      </w:r>
    </w:p>
    <w:p>
      <w:pPr>
        <w:pStyle w:val="FirstParagraph"/>
      </w:pPr>
      <w:r>
        <w:t xml:space="preserve">The</w:t>
      </w:r>
      <w:r>
        <w:t xml:space="preserve"> </w:t>
      </w:r>
      <w:r>
        <w:rPr>
          <w:bCs/>
          <w:b/>
        </w:rPr>
        <w:t xml:space="preserve">first events after 10.6 minutes of silence</w:t>
      </w:r>
      <w:r>
        <w:t xml:space="preserve"> </w:t>
      </w:r>
      <w:r>
        <w:t xml:space="preserve">(03:53:26–03:53:34) are:</w:t>
      </w:r>
    </w:p>
    <w:p>
      <w:pPr>
        <w:numPr>
          <w:ilvl w:val="0"/>
          <w:numId w:val="1004"/>
        </w:numPr>
        <w:pStyle w:val="Compact"/>
      </w:pPr>
      <w:r>
        <w:t xml:space="preserve">RecordID 8454 —</w:t>
      </w:r>
      <w:r>
        <w:t xml:space="preserve"> </w:t>
      </w:r>
      <w:r>
        <w:rPr>
          <w:bCs/>
          <w:b/>
        </w:rPr>
        <w:t xml:space="preserve">EventID 4688</w:t>
      </w:r>
      <w:r>
        <w:t xml:space="preserve"> </w:t>
      </w:r>
      <w:r>
        <w:t xml:space="preserve">(process creation), SYSTEM, 1,360 bytes — largest process event, contains</w:t>
      </w:r>
      <w:r>
        <w:t xml:space="preserve"> </w:t>
      </w:r>
      <w:r>
        <w:t xml:space="preserve">“</w:t>
      </w:r>
      <w:r>
        <w:t xml:space="preserve">Registry%%1936</w:t>
      </w:r>
      <w:r>
        <w:t xml:space="preserve">”</w:t>
      </w:r>
      <w:r>
        <w:t xml:space="preserve"> </w:t>
      </w:r>
      <w:r>
        <w:t xml:space="preserve">reference</w:t>
      </w:r>
    </w:p>
    <w:p>
      <w:pPr>
        <w:numPr>
          <w:ilvl w:val="0"/>
          <w:numId w:val="1004"/>
        </w:numPr>
        <w:pStyle w:val="Compact"/>
      </w:pPr>
      <w:r>
        <w:t xml:space="preserve">RecordID 8455 —</w:t>
      </w:r>
      <w:r>
        <w:t xml:space="preserve"> </w:t>
      </w:r>
      <w:r>
        <w:rPr>
          <w:bCs/>
          <w:b/>
        </w:rPr>
        <w:t xml:space="preserve">EventID 4696</w:t>
      </w:r>
      <w:r>
        <w:t xml:space="preserve"> </w:t>
      </w:r>
      <w:r>
        <w:t xml:space="preserve">(primary token assigned), SYSTEM</w:t>
      </w:r>
    </w:p>
    <w:p>
      <w:pPr>
        <w:numPr>
          <w:ilvl w:val="0"/>
          <w:numId w:val="1004"/>
        </w:numPr>
        <w:pStyle w:val="Compact"/>
      </w:pPr>
      <w:r>
        <w:t xml:space="preserve">RecordIDs 8457–8466 —</w:t>
      </w:r>
      <w:r>
        <w:t xml:space="preserve"> </w:t>
      </w:r>
      <w:r>
        <w:rPr>
          <w:bCs/>
          <w:b/>
        </w:rPr>
        <w:t xml:space="preserve">10× EventID 4688</w:t>
      </w:r>
      <w:r>
        <w:t xml:space="preserve"> </w:t>
      </w:r>
      <w:r>
        <w:t xml:space="preserve">(process creation), all SYSTEM, all within 5 seconds</w:t>
      </w:r>
    </w:p>
    <w:p>
      <w:pPr>
        <w:numPr>
          <w:ilvl w:val="0"/>
          <w:numId w:val="1004"/>
        </w:numPr>
        <w:pStyle w:val="Compact"/>
      </w:pPr>
      <w:r>
        <w:t xml:space="preserve">RecordID 9640 —</w:t>
      </w:r>
      <w:r>
        <w:t xml:space="preserve"> </w:t>
      </w:r>
      <w:r>
        <w:rPr>
          <w:bCs/>
          <w:b/>
        </w:rPr>
        <w:t xml:space="preserve">EventID 4697</w:t>
      </w:r>
      <w:r>
        <w:t xml:space="preserve"> </w:t>
      </w:r>
      <w:r>
        <w:t xml:space="preserve">(service installed), 03:53:34, references</w:t>
      </w:r>
      <w:r>
        <w:t xml:space="preserve"> </w:t>
      </w:r>
      <w:r>
        <w:rPr>
          <w:bCs/>
          <w:b/>
        </w:rPr>
        <w:t xml:space="preserve">“</w:t>
      </w:r>
      <w:r>
        <w:rPr>
          <w:bCs/>
          <w:b/>
        </w:rPr>
        <w:t xml:space="preserve">WirelessDisplay-Out-UDP</w:t>
      </w:r>
      <w:r>
        <w:rPr>
          <w:bCs/>
          <w:b/>
        </w:rPr>
        <w:t xml:space="preserve">”</w:t>
      </w:r>
      <w:r>
        <w:t xml:space="preserve"> </w:t>
      </w:r>
      <w:r>
        <w:t xml:space="preserve">rule name</w:t>
      </w:r>
    </w:p>
    <w:p>
      <w:pPr>
        <w:numPr>
          <w:ilvl w:val="0"/>
          <w:numId w:val="1004"/>
        </w:numPr>
        <w:pStyle w:val="Compact"/>
      </w:pPr>
      <w:r>
        <w:t xml:space="preserve">Immediately followed by ~148 EventID 1536 events and WFP storm continuation</w:t>
      </w:r>
    </w:p>
    <w:p>
      <w:pPr>
        <w:pStyle w:val="FirstParagraph"/>
      </w:pPr>
      <w:r>
        <w:t xml:space="preserve">11 SYSTEM-level process creations + 1 service install + 148 anomalous events in under 8 seconds = automated deployment, not human interaction.</w:t>
      </w:r>
    </w:p>
    <w:bookmarkEnd w:id="29"/>
    <w:bookmarkStart w:id="30" w:name="eventid-4697-service-install-detail"/>
    <w:p>
      <w:pPr>
        <w:pStyle w:val="Heading3"/>
      </w:pPr>
      <w:r>
        <w:t xml:space="preserve">3.7 EventID 4697 — Service Install Detail</w:t>
      </w:r>
    </w:p>
    <w:p>
      <w:pPr>
        <w:pStyle w:val="FirstParagraph"/>
      </w:pPr>
      <w:r>
        <w:t xml:space="preserve">The service install record at 03:53:34 references</w:t>
      </w:r>
      <w:r>
        <w:t xml:space="preserve"> </w:t>
      </w:r>
      <w:r>
        <w:rPr>
          <w:bCs/>
          <w:b/>
        </w:rPr>
        <w:t xml:space="preserve">“</w:t>
      </w:r>
      <w:r>
        <w:rPr>
          <w:bCs/>
          <w:b/>
        </w:rPr>
        <w:t xml:space="preserve">WirelessDisplay-Out-UDP</w:t>
      </w:r>
      <w:r>
        <w:rPr>
          <w:bCs/>
          <w:b/>
        </w:rPr>
        <w:t xml:space="preserve">”</w:t>
      </w:r>
      <w:r>
        <w:t xml:space="preserve"> </w:t>
      </w:r>
      <w:r>
        <w:t xml:space="preserve">and</w:t>
      </w:r>
      <w:r>
        <w:t xml:space="preserve"> </w:t>
      </w:r>
      <w:r>
        <w:rPr>
          <w:bCs/>
          <w:b/>
        </w:rPr>
        <w:t xml:space="preserve">“</w:t>
      </w:r>
      <w:r>
        <w:rPr>
          <w:bCs/>
          <w:b/>
        </w:rPr>
        <w:t xml:space="preserve">Wireless Display (UDP-Out)</w:t>
      </w:r>
      <w:r>
        <w:rPr>
          <w:bCs/>
          <w:b/>
        </w:rPr>
        <w:t xml:space="preserve">”</w:t>
      </w:r>
      <w:r>
        <w:t xml:space="preserve">. This is a legitimate Windows firewall rule name being co-opted. The rootkit is disguising its persistence mechanism as a standard Wireless Display network rule — a technique consistent with the documented WFP manipulation capability.</w:t>
      </w:r>
    </w:p>
    <w:p>
      <w:r>
        <w:pict>
          <v:rect style="width:0;height:1.5pt" o:hralign="center" o:hrstd="t" o:hr="t"/>
        </w:pict>
      </w:r>
    </w:p>
    <w:bookmarkEnd w:id="30"/>
    <w:bookmarkEnd w:id="31"/>
    <w:bookmarkStart w:id="35" w:name="X30d4cd09167d3062f1d6db7212581dde6d8642f"/>
    <w:p>
      <w:pPr>
        <w:pStyle w:val="Heading2"/>
      </w:pPr>
      <w:r>
        <w:t xml:space="preserve">4. NEW FINDINGS REQUIRING FURTHER INVESTIGATION</w:t>
      </w:r>
    </w:p>
    <w:bookmarkStart w:id="32" w:name="X5160cf2f7fb040deb030afced6e98061c725ab3"/>
    <w:p>
      <w:pPr>
        <w:pStyle w:val="Heading3"/>
      </w:pPr>
      <w:r>
        <w:t xml:space="preserve">4.1 EventID 1536 — Non-Standard Security Event (~210 occurrences)</w:t>
      </w:r>
    </w:p>
    <w:p>
      <w:pPr>
        <w:pStyle w:val="FirstParagraph"/>
      </w:pPr>
      <w:r>
        <w:t xml:space="preserve">EventID 1536 does not appear in the documented Windows Security event ID range. It is not generated by the standard Windows Filtering Platform, audit subsystem, or any documented Microsoft security provider.</w:t>
      </w:r>
    </w:p>
    <w:p>
      <w:pPr>
        <w:pStyle w:val="BodyText"/>
      </w:pPr>
      <w:r>
        <w:rPr>
          <w:bCs/>
          <w:b/>
        </w:rPr>
        <w:t xml:space="preserve">Distribution:</w:t>
      </w:r>
      <w:r>
        <w:t xml:space="preserve"> </w:t>
      </w:r>
      <w:r>
        <w:t xml:space="preserve">Appears</w:t>
      </w:r>
      <w:r>
        <w:t xml:space="preserve"> </w:t>
      </w:r>
      <w:r>
        <w:rPr>
          <w:bCs/>
          <w:b/>
        </w:rPr>
        <w:t xml:space="preserve">only</w:t>
      </w:r>
      <w:r>
        <w:t xml:space="preserve"> </w:t>
      </w:r>
      <w:r>
        <w:t xml:space="preserve">in the post-compromise phases:</w:t>
      </w:r>
    </w:p>
    <w:p>
      <w:pPr>
        <w:numPr>
          <w:ilvl w:val="0"/>
          <w:numId w:val="1005"/>
        </w:numPr>
        <w:pStyle w:val="Compact"/>
      </w:pPr>
      <w:r>
        <w:t xml:space="preserve">Chunks 170–171 (during attack/WFP storm): 16 events</w:t>
      </w:r>
    </w:p>
    <w:p>
      <w:pPr>
        <w:numPr>
          <w:ilvl w:val="0"/>
          <w:numId w:val="1005"/>
        </w:numPr>
        <w:pStyle w:val="Compact"/>
      </w:pPr>
      <w:r>
        <w:t xml:space="preserve">Chunks 225–230 (post-incident): ~52 events</w:t>
      </w:r>
    </w:p>
    <w:p>
      <w:pPr>
        <w:numPr>
          <w:ilvl w:val="0"/>
          <w:numId w:val="1005"/>
        </w:numPr>
        <w:pStyle w:val="Compact"/>
      </w:pPr>
      <w:r>
        <w:t xml:space="preserve">Chunks 256–257 (final burst at 03:53:34):</w:t>
      </w:r>
      <w:r>
        <w:t xml:space="preserve"> </w:t>
      </w:r>
      <w:r>
        <w:rPr>
          <w:bCs/>
          <w:b/>
        </w:rPr>
        <w:t xml:space="preserve">~148 events</w:t>
      </w:r>
    </w:p>
    <w:p>
      <w:pPr>
        <w:numPr>
          <w:ilvl w:val="0"/>
          <w:numId w:val="1005"/>
        </w:numPr>
        <w:pStyle w:val="Compact"/>
      </w:pPr>
      <w:r>
        <w:rPr>
          <w:bCs/>
          <w:b/>
        </w:rPr>
        <w:t xml:space="preserve">Never appears during the harvest or reconnaissance phases</w:t>
      </w:r>
    </w:p>
    <w:p>
      <w:pPr>
        <w:pStyle w:val="FirstParagraph"/>
      </w:pPr>
      <w:r>
        <w:rPr>
          <w:bCs/>
          <w:b/>
        </w:rPr>
        <w:t xml:space="preserve">Record characteristics:</w:t>
      </w:r>
      <w:r>
        <w:t xml:space="preserve"> </w:t>
      </w:r>
      <w:r>
        <w:t xml:space="preserve">Highly variable sizes (1,520–5,808 bytes), suggesting substantial variable-length payload data. The largest (5,808 bytes) is atypically large for any Security log event.</w:t>
      </w:r>
    </w:p>
    <w:p>
      <w:pPr>
        <w:pStyle w:val="BodyText"/>
      </w:pPr>
      <w:r>
        <w:rPr>
          <w:bCs/>
          <w:b/>
        </w:rPr>
        <w:t xml:space="preserve">Assessment:</w:t>
      </w:r>
      <w:r>
        <w:t xml:space="preserve"> </w:t>
      </w:r>
      <w:r>
        <w:t xml:space="preserve">The rootkit is either generating synthetic events under a custom EventID to the Security log channel, or it is using the WFP callout infrastructure with a non-standard event template. The timing correlation — appearing only after the system was compromised — and the non-standard ID are strong indicators of rootkit activity.</w:t>
      </w:r>
    </w:p>
    <w:bookmarkEnd w:id="32"/>
    <w:bookmarkStart w:id="33" w:name="X6325b1b4d1cf16dc6dc78e1ea8ea4543e493a5f"/>
    <w:p>
      <w:pPr>
        <w:pStyle w:val="Heading3"/>
      </w:pPr>
      <w:r>
        <w:t xml:space="preserve">4.2 EventID 1164 — One Per Chunk, Every Chunk (~262 occurrences)</w:t>
      </w:r>
    </w:p>
    <w:p>
      <w:pPr>
        <w:pStyle w:val="FirstParagraph"/>
      </w:pPr>
      <w:r>
        <w:t xml:space="preserve">Exactly one EventID 1164 event appears in every single chunk across the entire 262-chunk file. This is a perfectly regular cadence that does not correlate with any of the event storms or quiet periods.</w:t>
      </w:r>
    </w:p>
    <w:p>
      <w:pPr>
        <w:pStyle w:val="BodyText"/>
      </w:pPr>
      <w:r>
        <w:rPr>
          <w:bCs/>
          <w:b/>
        </w:rPr>
        <w:t xml:space="preserve">Assessment options:</w:t>
      </w:r>
    </w:p>
    <w:p>
      <w:pPr>
        <w:numPr>
          <w:ilvl w:val="0"/>
          <w:numId w:val="1006"/>
        </w:numPr>
        <w:pStyle w:val="Compact"/>
      </w:pPr>
      <w:r>
        <w:t xml:space="preserve">EVTX chunk header metadata event (benign structural artifact)</w:t>
      </w:r>
    </w:p>
    <w:p>
      <w:pPr>
        <w:numPr>
          <w:ilvl w:val="0"/>
          <w:numId w:val="1006"/>
        </w:numPr>
        <w:pStyle w:val="Compact"/>
      </w:pPr>
      <w:r>
        <w:t xml:space="preserve">Audit subsystem checkpoint event</w:t>
      </w:r>
    </w:p>
    <w:p>
      <w:pPr>
        <w:numPr>
          <w:ilvl w:val="0"/>
          <w:numId w:val="1006"/>
        </w:numPr>
        <w:pStyle w:val="Compact"/>
      </w:pPr>
      <w:r>
        <w:t xml:space="preserve">Monitoring beacon — a process writing exactly once per chunk allocation cycle</w:t>
      </w:r>
    </w:p>
    <w:p>
      <w:pPr>
        <w:pStyle w:val="FirstParagraph"/>
      </w:pPr>
      <w:r>
        <w:t xml:space="preserve">This requires further investigation to determine if 1164 is a documented EVTX structural feature or an anomalous regularity.</w:t>
      </w:r>
    </w:p>
    <w:bookmarkEnd w:id="33"/>
    <w:bookmarkStart w:id="34" w:name="the-february-27-date-question"/>
    <w:p>
      <w:pPr>
        <w:pStyle w:val="Heading3"/>
      </w:pPr>
      <w:r>
        <w:t xml:space="preserve">4.3 The February 27 Date Question</w:t>
      </w:r>
    </w:p>
    <w:p>
      <w:pPr>
        <w:pStyle w:val="FirstParagraph"/>
      </w:pPr>
      <w:r>
        <w:t xml:space="preserve">The project documentation consistently references March 1 as the primary attack date. This EVTX covers February 27, with the same five-phase attack pattern. This means either:</w:t>
      </w:r>
    </w:p>
    <w:p>
      <w:pPr>
        <w:numPr>
          <w:ilvl w:val="0"/>
          <w:numId w:val="1007"/>
        </w:numPr>
        <w:pStyle w:val="Compact"/>
      </w:pPr>
      <w:r>
        <w:rPr>
          <w:bCs/>
          <w:b/>
        </w:rPr>
        <w:t xml:space="preserve">Earlier compromise:</w:t>
      </w:r>
      <w:r>
        <w:t xml:space="preserve"> </w:t>
      </w:r>
      <w:r>
        <w:t xml:space="preserve">The device was attacked on Feb 27 AND March 1 — two separate operations with identical methodology</w:t>
      </w:r>
    </w:p>
    <w:p>
      <w:pPr>
        <w:numPr>
          <w:ilvl w:val="0"/>
          <w:numId w:val="1007"/>
        </w:numPr>
        <w:pStyle w:val="Compact"/>
      </w:pPr>
      <w:r>
        <w:rPr>
          <w:bCs/>
          <w:b/>
        </w:rPr>
        <w:t xml:space="preserve">Ring-buffer crossover:</w:t>
      </w:r>
      <w:r>
        <w:t xml:space="preserve"> </w:t>
      </w:r>
      <w:r>
        <w:t xml:space="preserve">The Feb 27 data survived in the ring buffer because the March 1 events overwrote only partially, or this export was taken between Feb 27 and March 1</w:t>
      </w:r>
    </w:p>
    <w:p>
      <w:pPr>
        <w:numPr>
          <w:ilvl w:val="0"/>
          <w:numId w:val="1007"/>
        </w:numPr>
        <w:pStyle w:val="Compact"/>
      </w:pPr>
      <w:r>
        <w:rPr>
          <w:bCs/>
          <w:b/>
        </w:rPr>
        <w:t xml:space="preserve">Mislabelled source:</w:t>
      </w:r>
      <w:r>
        <w:t xml:space="preserve"> </w:t>
      </w:r>
      <w:r>
        <w:t xml:space="preserve">The EVTX was exported from a different session than documented</w:t>
      </w:r>
    </w:p>
    <w:p>
      <w:pPr>
        <w:pStyle w:val="FirstParagraph"/>
      </w:pPr>
      <w:r>
        <w:t xml:space="preserve">The project docs note</w:t>
      </w:r>
      <w:r>
        <w:t xml:space="preserve"> </w:t>
      </w:r>
      <w:r>
        <w:t xml:space="preserve">“</w:t>
      </w:r>
      <w:r>
        <w:t xml:space="preserve">132 post-shutdown events in EVTX ring buffer (recovery artifacts from prior session)</w:t>
      </w:r>
      <w:r>
        <w:t xml:space="preserve">”</w:t>
      </w:r>
      <w:r>
        <w:t xml:space="preserve"> </w:t>
      </w:r>
      <w:r>
        <w:t xml:space="preserve">— this aligns with option 2. The Feb 27 data may be the</w:t>
      </w:r>
      <w:r>
        <w:t xml:space="preserve"> </w:t>
      </w:r>
      <w:r>
        <w:rPr>
          <w:bCs/>
          <w:b/>
        </w:rPr>
        <w:t xml:space="preserve">prior session</w:t>
      </w:r>
      <w:r>
        <w:t xml:space="preserve"> </w:t>
      </w:r>
      <w:r>
        <w:t xml:space="preserve">referenced in the project summary.</w:t>
      </w:r>
    </w:p>
    <w:p>
      <w:r>
        <w:pict>
          <v:rect style="width:0;height:1.5pt" o:hralign="center" o:hrstd="t" o:hr="t"/>
        </w:pict>
      </w:r>
    </w:p>
    <w:bookmarkEnd w:id="34"/>
    <w:bookmarkEnd w:id="35"/>
    <w:bookmarkStart w:id="36" w:name="probability-assessment"/>
    <w:p>
      <w:pPr>
        <w:pStyle w:val="Heading2"/>
      </w:pPr>
      <w:r>
        <w:t xml:space="preserve">5. PROBABILITY ASSESSMENT</w:t>
      </w:r>
    </w:p>
    <w:p>
      <w:pPr>
        <w:pStyle w:val="FirstParagraph"/>
      </w:pPr>
      <w:r>
        <w:rPr>
          <w:bCs/>
          <w:b/>
        </w:rPr>
        <w:t xml:space="preserve">Question:</w:t>
      </w:r>
      <w:r>
        <w:t xml:space="preserve"> </w:t>
      </w:r>
      <w:r>
        <w:t xml:space="preserve">Does this EVTX contain evidence of a rootkit?</w:t>
      </w:r>
    </w:p>
    <w:p>
      <w:pPr>
        <w:pStyle w:val="BodyText"/>
      </w:pPr>
      <w:r>
        <w:rPr>
          <w:bCs/>
          <w:b/>
        </w:rPr>
        <w:t xml:space="preserve">Assessment: VERY LIKELY</w:t>
      </w:r>
    </w:p>
    <w:p>
      <w:pPr>
        <w:pStyle w:val="BodyText"/>
      </w:pPr>
      <w:r>
        <w:t xml:space="preserve">The evidence does not include a file path to a malicious binary or a smoking-gun process name (the BinXML encoding prevents full string extraction without the</w:t>
      </w:r>
      <w:r>
        <w:t xml:space="preserve"> </w:t>
      </w:r>
      <w:r>
        <w:rPr>
          <w:rStyle w:val="VerbatimChar"/>
        </w:rPr>
        <w:t xml:space="preserve">python-evtx</w:t>
      </w:r>
      <w:r>
        <w:t xml:space="preserve"> </w:t>
      </w:r>
      <w:r>
        <w:t xml:space="preserve">library or network access to install it). However, the behavioral fingerprint is strongly indicative:</w:t>
      </w:r>
    </w:p>
    <w:p>
      <w:pPr>
        <w:numPr>
          <w:ilvl w:val="0"/>
          <w:numId w:val="1008"/>
        </w:numPr>
        <w:pStyle w:val="Compact"/>
      </w:pPr>
      <w:r>
        <w:rPr>
          <w:bCs/>
          <w:b/>
        </w:rPr>
        <w:t xml:space="preserve">Non-standard EventID 1536</w:t>
      </w:r>
      <w:r>
        <w:t xml:space="preserve"> </w:t>
      </w:r>
      <w:r>
        <w:t xml:space="preserve">appearing only in post-compromise windows — ~210 events that should not exist in a Security log</w:t>
      </w:r>
    </w:p>
    <w:p>
      <w:pPr>
        <w:numPr>
          <w:ilvl w:val="0"/>
          <w:numId w:val="1008"/>
        </w:numPr>
        <w:pStyle w:val="Compact"/>
      </w:pPr>
      <w:r>
        <w:rPr>
          <w:bCs/>
          <w:b/>
        </w:rPr>
        <w:t xml:space="preserve">10.6-minute audit blackout</w:t>
      </w:r>
      <w:r>
        <w:t xml:space="preserve"> </w:t>
      </w:r>
      <w:r>
        <w:t xml:space="preserve">between attack launch and post-incident activity — consistent with kernel-level suppression of the audit subsystem</w:t>
      </w:r>
    </w:p>
    <w:p>
      <w:pPr>
        <w:numPr>
          <w:ilvl w:val="0"/>
          <w:numId w:val="1008"/>
        </w:numPr>
        <w:pStyle w:val="Compact"/>
      </w:pPr>
      <w:r>
        <w:rPr>
          <w:bCs/>
          <w:b/>
        </w:rPr>
        <w:t xml:space="preserve">Automated deployment sequence</w:t>
      </w:r>
      <w:r>
        <w:t xml:space="preserve">: 11 SYSTEM process creations + 1 service install in &lt;8 seconds after the blackout</w:t>
      </w:r>
    </w:p>
    <w:p>
      <w:pPr>
        <w:numPr>
          <w:ilvl w:val="0"/>
          <w:numId w:val="1008"/>
        </w:numPr>
        <w:pStyle w:val="Compact"/>
      </w:pPr>
      <w:r>
        <w:rPr>
          <w:bCs/>
          <w:b/>
        </w:rPr>
        <w:t xml:space="preserve">Service install disguised as legitimate component</w:t>
      </w:r>
      <w:r>
        <w:t xml:space="preserve"> </w:t>
      </w:r>
      <w:r>
        <w:t xml:space="preserve">(</w:t>
      </w:r>
      <w:r>
        <w:t xml:space="preserve">“</w:t>
      </w:r>
      <w:r>
        <w:t xml:space="preserve">WirelessDisplay-Out-UDP</w:t>
      </w:r>
      <w:r>
        <w:t xml:space="preserve">”</w:t>
      </w:r>
      <w:r>
        <w:t xml:space="preserve">)</w:t>
      </w:r>
    </w:p>
    <w:p>
      <w:pPr>
        <w:numPr>
          <w:ilvl w:val="0"/>
          <w:numId w:val="1008"/>
        </w:numPr>
        <w:pStyle w:val="Compact"/>
      </w:pPr>
      <w:r>
        <w:rPr>
          <w:bCs/>
          <w:b/>
        </w:rPr>
        <w:t xml:space="preserve">WFP policy manipulation at scale</w:t>
      </w:r>
      <w:r>
        <w:t xml:space="preserve">: 5,922 filter changes + 2,960 provider context changes = the rootkit and the OS fighting over firewall policy</w:t>
      </w:r>
    </w:p>
    <w:p>
      <w:pPr>
        <w:numPr>
          <w:ilvl w:val="0"/>
          <w:numId w:val="1008"/>
        </w:numPr>
        <w:pStyle w:val="Compact"/>
      </w:pPr>
      <w:r>
        <w:rPr>
          <w:bCs/>
          <w:b/>
        </w:rPr>
        <w:t xml:space="preserve">Ring buffer cycling under pressure</w:t>
      </w:r>
      <w:r>
        <w:t xml:space="preserve"> </w:t>
      </w:r>
      <w:r>
        <w:t xml:space="preserve">— the volume of events was sufficient to overwrite records multiple times</w:t>
      </w:r>
    </w:p>
    <w:p>
      <w:pPr>
        <w:pStyle w:val="FirstParagraph"/>
      </w:pPr>
      <w:r>
        <w:t xml:space="preserve">None of these individually proves rootkit presence. Together, they describe a system under active kernel-level compromise with automated post-exploitation deployment — matching the documented rootkit profile from the project files.</w:t>
      </w:r>
    </w:p>
    <w:p>
      <w:r>
        <w:pict>
          <v:rect style="width:0;height:1.5pt" o:hralign="center" o:hrstd="t" o:hr="t"/>
        </w:pict>
      </w:r>
    </w:p>
    <w:bookmarkEnd w:id="36"/>
    <w:bookmarkStart w:id="37" w:name="what-was-not-found"/>
    <w:p>
      <w:pPr>
        <w:pStyle w:val="Heading2"/>
      </w:pPr>
      <w:r>
        <w:t xml:space="preserve">6. WHAT WAS NOT FOUND</w:t>
      </w:r>
    </w:p>
    <w:p>
      <w:pPr>
        <w:numPr>
          <w:ilvl w:val="0"/>
          <w:numId w:val="1009"/>
        </w:numPr>
        <w:pStyle w:val="Compact"/>
      </w:pPr>
      <w:r>
        <w:rPr>
          <w:bCs/>
          <w:b/>
        </w:rPr>
        <w:t xml:space="preserve">No Teredo/IPv6 addresses</w:t>
      </w:r>
      <w:r>
        <w:t xml:space="preserve"> </w:t>
      </w:r>
      <w:r>
        <w:t xml:space="preserve">in event record data (all candidates were false positives)</w:t>
      </w:r>
    </w:p>
    <w:p>
      <w:pPr>
        <w:numPr>
          <w:ilvl w:val="0"/>
          <w:numId w:val="1009"/>
        </w:numPr>
        <w:pStyle w:val="Compact"/>
      </w:pPr>
      <w:r>
        <w:rPr>
          <w:bCs/>
          <w:b/>
        </w:rPr>
        <w:t xml:space="preserve">No 31239 namespace prefix</w:t>
      </w:r>
      <w:r>
        <w:t xml:space="preserve"> </w:t>
      </w:r>
      <w:r>
        <w:t xml:space="preserve">in binary content (the 31238035 match was FILETIME)</w:t>
      </w:r>
    </w:p>
    <w:p>
      <w:pPr>
        <w:numPr>
          <w:ilvl w:val="0"/>
          <w:numId w:val="1009"/>
        </w:numPr>
        <w:pStyle w:val="Compact"/>
      </w:pPr>
      <w:r>
        <w:rPr>
          <w:bCs/>
          <w:b/>
        </w:rPr>
        <w:t xml:space="preserve">No readable process paths or command lines</w:t>
      </w:r>
      <w:r>
        <w:t xml:space="preserve"> </w:t>
      </w:r>
      <w:r>
        <w:t xml:space="preserve">— BinXML encoding prevents extraction without a proper parser library</w:t>
      </w:r>
    </w:p>
    <w:p>
      <w:pPr>
        <w:numPr>
          <w:ilvl w:val="0"/>
          <w:numId w:val="1009"/>
        </w:numPr>
        <w:pStyle w:val="Compact"/>
      </w:pPr>
      <w:r>
        <w:rPr>
          <w:bCs/>
          <w:b/>
        </w:rPr>
        <w:t xml:space="preserve">No logon session SIDs</w:t>
      </w:r>
      <w:r>
        <w:t xml:space="preserve"> </w:t>
      </w:r>
      <w:r>
        <w:t xml:space="preserve">(S-1-5-5-0-*) were found, which is unusual for a Security log containing 4688 events</w:t>
      </w:r>
    </w:p>
    <w:p>
      <w:pPr>
        <w:numPr>
          <w:ilvl w:val="0"/>
          <w:numId w:val="1009"/>
        </w:numPr>
        <w:pStyle w:val="Compact"/>
      </w:pPr>
      <w:r>
        <w:rPr>
          <w:bCs/>
          <w:b/>
        </w:rPr>
        <w:t xml:space="preserve">No ROT-encoded strings</w:t>
      </w:r>
      <w:r>
        <w:t xml:space="preserve"> </w:t>
      </w:r>
      <w:r>
        <w:t xml:space="preserve">identifiable in the extracted string data</w:t>
      </w:r>
    </w:p>
    <w:p>
      <w:pPr>
        <w:numPr>
          <w:ilvl w:val="0"/>
          <w:numId w:val="1009"/>
        </w:numPr>
        <w:pStyle w:val="Compact"/>
      </w:pPr>
      <w:r>
        <w:rPr>
          <w:bCs/>
          <w:b/>
        </w:rPr>
        <w:t xml:space="preserve">No IP addresses</w:t>
      </w:r>
      <w:r>
        <w:t xml:space="preserve"> </w:t>
      </w:r>
      <w:r>
        <w:t xml:space="preserve">(v4 or v6) in the event record area</w:t>
      </w:r>
    </w:p>
    <w:p>
      <w:r>
        <w:pict>
          <v:rect style="width:0;height:1.5pt" o:hralign="center" o:hrstd="t" o:hr="t"/>
        </w:pict>
      </w:r>
    </w:p>
    <w:bookmarkEnd w:id="37"/>
    <w:bookmarkStart w:id="41" w:name="handover-intended-next-steps"/>
    <w:p>
      <w:pPr>
        <w:pStyle w:val="Heading2"/>
      </w:pPr>
      <w:r>
        <w:t xml:space="preserve">7. HANDOVER — INTENDED NEXT STEPS</w:t>
      </w:r>
    </w:p>
    <w:bookmarkStart w:id="38" w:name="immediate-this-evtx-with-proper-tooling"/>
    <w:p>
      <w:pPr>
        <w:pStyle w:val="Heading3"/>
      </w:pPr>
      <w:r>
        <w:t xml:space="preserve">7.1 IMMEDIATE (This EVTX, With Proper Tooling)</w:t>
      </w:r>
    </w:p>
    <w:p>
      <w:pPr>
        <w:pStyle w:val="FirstParagraph"/>
      </w:pPr>
      <w:r>
        <w:rPr>
          <w:bCs/>
          <w:b/>
        </w:rPr>
        <w:t xml:space="preserve">Priority 1:</w:t>
      </w:r>
      <w:r>
        <w:t xml:space="preserve"> </w:t>
      </w:r>
      <w:r>
        <w:t xml:space="preserve">Parse with</w:t>
      </w:r>
      <w:r>
        <w:t xml:space="preserve"> </w:t>
      </w:r>
      <w:r>
        <w:rPr>
          <w:rStyle w:val="VerbatimChar"/>
        </w:rPr>
        <w:t xml:space="preserve">python-evtx</w:t>
      </w:r>
      <w:r>
        <w:t xml:space="preserve"> </w:t>
      </w:r>
      <w:r>
        <w:t xml:space="preserve">library or Windows Event Viewer to get full XML event content. The BinXML templates are in the chunk headers; a proper parser will resolve all substitution values and yield:</w:t>
      </w:r>
    </w:p>
    <w:p>
      <w:pPr>
        <w:numPr>
          <w:ilvl w:val="0"/>
          <w:numId w:val="1010"/>
        </w:numPr>
        <w:pStyle w:val="Compact"/>
      </w:pPr>
      <w:r>
        <w:t xml:space="preserve">Full process names and command lines from the 11 × EventID 4688 records</w:t>
      </w:r>
    </w:p>
    <w:p>
      <w:pPr>
        <w:numPr>
          <w:ilvl w:val="0"/>
          <w:numId w:val="1010"/>
        </w:numPr>
        <w:pStyle w:val="Compact"/>
      </w:pPr>
      <w:r>
        <w:t xml:space="preserve">Service name, binary path, and account from EventID 4697</w:t>
      </w:r>
    </w:p>
    <w:p>
      <w:pPr>
        <w:numPr>
          <w:ilvl w:val="0"/>
          <w:numId w:val="1010"/>
        </w:numPr>
        <w:pStyle w:val="Compact"/>
      </w:pPr>
      <w:r>
        <w:t xml:space="preserve">Complete WFP filter definitions (rule names, addresses, ports) from 5447/5449</w:t>
      </w:r>
    </w:p>
    <w:p>
      <w:pPr>
        <w:numPr>
          <w:ilvl w:val="0"/>
          <w:numId w:val="1010"/>
        </w:numPr>
        <w:pStyle w:val="Compact"/>
      </w:pPr>
      <w:r>
        <w:t xml:space="preserve">Subject and target account names from all events</w:t>
      </w:r>
    </w:p>
    <w:p>
      <w:pPr>
        <w:pStyle w:val="FirstParagraph"/>
      </w:pPr>
      <w:r>
        <w:rPr>
          <w:bCs/>
          <w:b/>
        </w:rPr>
        <w:t xml:space="preserve">Priority 2:</w:t>
      </w:r>
      <w:r>
        <w:t xml:space="preserve"> </w:t>
      </w:r>
      <w:r>
        <w:t xml:space="preserve">Investigate EventID 1536. Determine if this is:</w:t>
      </w:r>
    </w:p>
    <w:p>
      <w:pPr>
        <w:numPr>
          <w:ilvl w:val="0"/>
          <w:numId w:val="1011"/>
        </w:numPr>
        <w:pStyle w:val="Compact"/>
      </w:pPr>
      <w:r>
        <w:t xml:space="preserve">A custom event registered by the rootkit</w:t>
      </w:r>
    </w:p>
    <w:p>
      <w:pPr>
        <w:numPr>
          <w:ilvl w:val="0"/>
          <w:numId w:val="1011"/>
        </w:numPr>
        <w:pStyle w:val="Compact"/>
      </w:pPr>
      <w:r>
        <w:t xml:space="preserve">A WFP callout event from a non-standard provider</w:t>
      </w:r>
    </w:p>
    <w:p>
      <w:pPr>
        <w:numPr>
          <w:ilvl w:val="0"/>
          <w:numId w:val="1011"/>
        </w:numPr>
        <w:pStyle w:val="Compact"/>
      </w:pPr>
      <w:r>
        <w:t xml:space="preserve">An artefact of BinXML template corruption</w:t>
      </w:r>
    </w:p>
    <w:p>
      <w:pPr>
        <w:pStyle w:val="FirstParagraph"/>
      </w:pPr>
      <w:r>
        <w:rPr>
          <w:bCs/>
          <w:b/>
        </w:rPr>
        <w:t xml:space="preserve">Priority 3:</w:t>
      </w:r>
      <w:r>
        <w:t xml:space="preserve"> </w:t>
      </w:r>
      <w:r>
        <w:t xml:space="preserve">Investigate EventID 1164 (1-per-chunk regularity). Determine if structural or anomalous.</w:t>
      </w:r>
    </w:p>
    <w:p>
      <w:pPr>
        <w:pStyle w:val="BodyText"/>
      </w:pPr>
      <w:r>
        <w:rPr>
          <w:bCs/>
          <w:b/>
        </w:rPr>
        <w:t xml:space="preserve">Priority 4:</w:t>
      </w:r>
      <w:r>
        <w:t xml:space="preserve"> </w:t>
      </w:r>
      <w:r>
        <w:t xml:space="preserve">Extract the 4697 service install record’s full XML to identify the exact service binary path. This is the persistence mechanism.</w:t>
      </w:r>
    </w:p>
    <w:bookmarkEnd w:id="38"/>
    <w:bookmarkStart w:id="39" w:name="next-session-github-repo"/>
    <w:p>
      <w:pPr>
        <w:pStyle w:val="Heading3"/>
      </w:pPr>
      <w:r>
        <w:t xml:space="preserve">7.2 NEXT SESSION (GitHub Repo)</w:t>
      </w:r>
    </w:p>
    <w:p>
      <w:pPr>
        <w:pStyle w:val="FirstParagraph"/>
      </w:pPr>
      <w:r>
        <w:t xml:space="preserve">The GitHub repository (https://github.com/Smooth511/malware-invasion.-battle-of-the-rootkits) was rate-limited in the prior session. Outstanding tasks:</w:t>
      </w:r>
    </w:p>
    <w:p>
      <w:pPr>
        <w:numPr>
          <w:ilvl w:val="0"/>
          <w:numId w:val="1012"/>
        </w:numPr>
        <w:pStyle w:val="Compact"/>
      </w:pPr>
      <w:r>
        <w:t xml:space="preserve">Fetch all text/log files (logs1.txt, Shortenedlog-suspectedtimeframe.txt, logs14688.text, Keysofthedeceased)</w:t>
      </w:r>
    </w:p>
    <w:p>
      <w:pPr>
        <w:numPr>
          <w:ilvl w:val="0"/>
          <w:numId w:val="1012"/>
        </w:numPr>
        <w:pStyle w:val="Compact"/>
      </w:pPr>
      <w:r>
        <w:t xml:space="preserve">Fetch all markdown reports (DEFINITIVE_INCIDENT_REPORT.md, etc.)</w:t>
      </w:r>
    </w:p>
    <w:p>
      <w:pPr>
        <w:numPr>
          <w:ilvl w:val="0"/>
          <w:numId w:val="1012"/>
        </w:numPr>
        <w:pStyle w:val="Compact"/>
      </w:pPr>
      <w:r>
        <w:t xml:space="preserve">Extract IPv6 addresses from log files and decode Teredo-mapped IPv4s</w:t>
      </w:r>
    </w:p>
    <w:p>
      <w:pPr>
        <w:numPr>
          <w:ilvl w:val="0"/>
          <w:numId w:val="1012"/>
        </w:numPr>
        <w:pStyle w:val="Compact"/>
      </w:pPr>
      <w:r>
        <w:t xml:space="preserve">Search for 31239 namespace prefix across all files</w:t>
      </w:r>
    </w:p>
    <w:p>
      <w:pPr>
        <w:numPr>
          <w:ilvl w:val="0"/>
          <w:numId w:val="1012"/>
        </w:numPr>
        <w:pStyle w:val="Compact"/>
      </w:pPr>
      <w:r>
        <w:t xml:space="preserve">ROT-decode registry key strings</w:t>
      </w:r>
    </w:p>
    <w:p>
      <w:pPr>
        <w:numPr>
          <w:ilvl w:val="0"/>
          <w:numId w:val="1012"/>
        </w:numPr>
        <w:pStyle w:val="Compact"/>
      </w:pPr>
      <w:r>
        <w:t xml:space="preserve">WHOIS/ASN lookups on extracted external IPs</w:t>
      </w:r>
    </w:p>
    <w:bookmarkEnd w:id="39"/>
    <w:bookmarkStart w:id="40" w:name="pending-from-project-docs"/>
    <w:p>
      <w:pPr>
        <w:pStyle w:val="Heading3"/>
      </w:pPr>
      <w:r>
        <w:t xml:space="preserve">7.3 PENDING FROM PROJECT DOCS</w:t>
      </w:r>
    </w:p>
    <w:p>
      <w:pPr>
        <w:numPr>
          <w:ilvl w:val="0"/>
          <w:numId w:val="1013"/>
        </w:numPr>
        <w:pStyle w:val="Compact"/>
      </w:pPr>
      <w:r>
        <w:t xml:space="preserve">111GB NTFS backup on Mac Mini 1 NVMe — assess when clean hardware available</w:t>
      </w:r>
    </w:p>
    <w:p>
      <w:pPr>
        <w:numPr>
          <w:ilvl w:val="0"/>
          <w:numId w:val="1013"/>
        </w:numPr>
        <w:pStyle w:val="Compact"/>
      </w:pPr>
      <w:r>
        <w:t xml:space="preserve">MobileAccessoryUpdater cache invalidation root cause</w:t>
      </w:r>
    </w:p>
    <w:p>
      <w:pPr>
        <w:numPr>
          <w:ilvl w:val="0"/>
          <w:numId w:val="1013"/>
        </w:numPr>
        <w:pStyle w:val="Compact"/>
      </w:pPr>
      <w:r>
        <w:t xml:space="preserve">63 unmapped PIDs in range 8640–8960 (Mar 12 iPhone stacks)</w:t>
      </w:r>
    </w:p>
    <w:p>
      <w:pPr>
        <w:numPr>
          <w:ilvl w:val="0"/>
          <w:numId w:val="1013"/>
        </w:numPr>
        <w:pStyle w:val="Compact"/>
      </w:pPr>
      <w:r>
        <w:t xml:space="preserve">SHA256 hash future-dated EXEs for VirusTotal</w:t>
      </w:r>
    </w:p>
    <w:p>
      <w:pPr>
        <w:numPr>
          <w:ilvl w:val="0"/>
          <w:numId w:val="1013"/>
        </w:numPr>
        <w:pStyle w:val="Compact"/>
      </w:pPr>
      <w:r>
        <w:t xml:space="preserve">Round 2 Disk Drill on recovered USB</w:t>
      </w:r>
    </w:p>
    <w:p>
      <w:pPr>
        <w:numPr>
          <w:ilvl w:val="0"/>
          <w:numId w:val="1013"/>
        </w:numPr>
        <w:pStyle w:val="Compact"/>
      </w:pPr>
      <w:r>
        <w:t xml:space="preserve">Google account security remediation (myaccount.google.com/security)</w:t>
      </w:r>
    </w:p>
    <w:p>
      <w:pPr>
        <w:numPr>
          <w:ilvl w:val="0"/>
          <w:numId w:val="1013"/>
        </w:numPr>
        <w:pStyle w:val="Compact"/>
      </w:pPr>
      <w:r>
        <w:t xml:space="preserve">Check privacy.apple.com for uncancelled data export requests</w:t>
      </w:r>
    </w:p>
    <w:p>
      <w:r>
        <w:pict>
          <v:rect style="width:0;height:1.5pt" o:hralign="center" o:hrstd="t" o:hr="t"/>
        </w:pict>
      </w:r>
    </w:p>
    <w:bookmarkEnd w:id="40"/>
    <w:bookmarkEnd w:id="41"/>
    <w:bookmarkStart w:id="42" w:name="file-transcript-locations"/>
    <w:p>
      <w:pPr>
        <w:pStyle w:val="Heading2"/>
      </w:pPr>
      <w:r>
        <w:t xml:space="preserve">8. FILE &amp; TRANSCRIPT LOCATIONS</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left"/>
            </w:pPr>
            <w:r>
              <w:t xml:space="preserve">Item</w:t>
            </w:r>
          </w:p>
        </w:tc>
        <w:tc>
          <w:tcPr/>
          <w:p>
            <w:pPr>
              <w:pStyle w:val="Compact"/>
              <w:jc w:val="left"/>
            </w:pPr>
            <w:r>
              <w:t xml:space="preserve">Location</w:t>
            </w:r>
          </w:p>
        </w:tc>
      </w:tr>
      <w:tr>
        <w:tc>
          <w:tcPr/>
          <w:p>
            <w:pPr>
              <w:pStyle w:val="Compact"/>
              <w:jc w:val="left"/>
            </w:pPr>
            <w:r>
              <w:t xml:space="preserve">This session transcript</w:t>
            </w:r>
          </w:p>
        </w:tc>
        <w:tc>
          <w:tcPr/>
          <w:p>
            <w:pPr>
              <w:pStyle w:val="Compact"/>
              <w:jc w:val="left"/>
            </w:pPr>
            <w:r>
              <w:t xml:space="preserve">/mnt/transcripts/2026-03-12-13-42-46-project12-github-repo-analysis.txt</w:t>
            </w:r>
          </w:p>
        </w:tc>
      </w:tr>
      <w:tr>
        <w:tc>
          <w:tcPr/>
          <w:p>
            <w:pPr>
              <w:pStyle w:val="Compact"/>
              <w:jc w:val="left"/>
            </w:pPr>
            <w:r>
              <w:t xml:space="preserve">EVTX source file</w:t>
            </w:r>
          </w:p>
        </w:tc>
        <w:tc>
          <w:tcPr/>
          <w:p>
            <w:pPr>
              <w:pStyle w:val="Compact"/>
              <w:jc w:val="left"/>
            </w:pPr>
            <w:r>
              <w:t xml:space="preserve">/mnt/user-data/uploads/logs1.evtx</w:t>
            </w:r>
          </w:p>
        </w:tc>
      </w:tr>
      <w:tr>
        <w:tc>
          <w:tcPr/>
          <w:p>
            <w:pPr>
              <w:pStyle w:val="Compact"/>
              <w:jc w:val="left"/>
            </w:pPr>
            <w:r>
              <w:t xml:space="preserve">Screenshots from prior session</w:t>
            </w:r>
          </w:p>
        </w:tc>
        <w:tc>
          <w:tcPr/>
          <w:p>
            <w:pPr>
              <w:pStyle w:val="Compact"/>
              <w:jc w:val="left"/>
            </w:pPr>
            <w:r>
              <w:t xml:space="preserve">/mnt/user-data/uploads/IMG_0180–0185.png</w:t>
            </w:r>
          </w:p>
        </w:tc>
      </w:tr>
      <w:tr>
        <w:tc>
          <w:tcPr/>
          <w:p>
            <w:pPr>
              <w:pStyle w:val="Compact"/>
              <w:jc w:val="left"/>
            </w:pPr>
            <w:r>
              <w:t xml:space="preserve">Project documentation</w:t>
            </w:r>
          </w:p>
        </w:tc>
        <w:tc>
          <w:tcPr/>
          <w:p>
            <w:pPr>
              <w:pStyle w:val="Compact"/>
              <w:jc w:val="left"/>
            </w:pPr>
            <w:r>
              <w:t xml:space="preserve">/mnt/project/ (5 files)</w:t>
            </w:r>
          </w:p>
        </w:tc>
      </w:tr>
      <w:tr>
        <w:tc>
          <w:tcPr/>
          <w:p>
            <w:pPr>
              <w:pStyle w:val="Compact"/>
              <w:jc w:val="left"/>
            </w:pPr>
            <w:r>
              <w:t xml:space="preserve">Prior session outputs</w:t>
            </w:r>
          </w:p>
        </w:tc>
        <w:tc>
          <w:tcPr/>
          <w:p>
            <w:pPr>
              <w:pStyle w:val="Compact"/>
              <w:jc w:val="left"/>
            </w:pPr>
            <w:r>
              <w:t xml:space="preserve">/mnt/user-data/outputs/</w:t>
            </w:r>
          </w:p>
        </w:tc>
      </w:tr>
    </w:tbl>
    <w:p>
      <w:r>
        <w:pict>
          <v:rect style="width:0;height:1.5pt" o:hralign="center" o:hrstd="t" o:hr="t"/>
        </w:pict>
      </w:r>
    </w:p>
    <w:bookmarkEnd w:id="42"/>
    <w:bookmarkStart w:id="43" w:name="Xc1fe2b507e549014efb6e127454ae0025e7053a"/>
    <w:p>
      <w:pPr>
        <w:pStyle w:val="Heading2"/>
      </w:pPr>
      <w:r>
        <w:t xml:space="preserve">9. RETRACTED/CORRECTED FINDINGS INDEX (CUMULATIVE)</w:t>
      </w:r>
    </w:p>
    <w:tbl>
      <w:tblPr>
        <w:tblStyle w:val="Table"/>
        <w:tblW w:type="pct" w:w="5000"/>
        <w:tblLook w:firstRow="1" w:lastRow="0" w:firstColumn="0" w:lastColumn="0" w:noHBand="0" w:noVBand="0" w:val="0020"/>
        <w:jc w:val="start"/>
      </w:tblPr>
      <w:tblGrid>
        <w:gridCol w:w="2096"/>
        <w:gridCol w:w="1863"/>
        <w:gridCol w:w="2096"/>
        <w:gridCol w:w="1863"/>
      </w:tblGrid>
      <w:tr>
        <w:trPr>
          <w:tblHeader w:val="true"/>
        </w:trPr>
        <w:tc>
          <w:tcPr/>
          <w:p>
            <w:pPr>
              <w:pStyle w:val="Compact"/>
              <w:jc w:val="left"/>
            </w:pPr>
            <w:r>
              <w:t xml:space="preserve">Finding</w:t>
            </w:r>
          </w:p>
        </w:tc>
        <w:tc>
          <w:tcPr/>
          <w:p>
            <w:pPr>
              <w:pStyle w:val="Compact"/>
              <w:jc w:val="left"/>
            </w:pPr>
            <w:r>
              <w:t xml:space="preserve">Status</w:t>
            </w:r>
          </w:p>
        </w:tc>
        <w:tc>
          <w:tcPr/>
          <w:p>
            <w:pPr>
              <w:pStyle w:val="Compact"/>
              <w:jc w:val="left"/>
            </w:pPr>
            <w:r>
              <w:t xml:space="preserve">Session</w:t>
            </w:r>
          </w:p>
        </w:tc>
        <w:tc>
          <w:tcPr/>
          <w:p>
            <w:pPr>
              <w:pStyle w:val="Compact"/>
              <w:jc w:val="left"/>
            </w:pPr>
            <w:r>
              <w:t xml:space="preserve">Reason</w:t>
            </w:r>
          </w:p>
        </w:tc>
      </w:tr>
      <w:tr>
        <w:tc>
          <w:tcPr/>
          <w:p>
            <w:pPr>
              <w:pStyle w:val="Compact"/>
              <w:jc w:val="left"/>
            </w:pPr>
            <w:r>
              <w:t xml:space="preserve">S-1-0-* anomalous SIDs</w:t>
            </w:r>
          </w:p>
        </w:tc>
        <w:tc>
          <w:tcPr/>
          <w:p>
            <w:pPr>
              <w:pStyle w:val="Compact"/>
              <w:jc w:val="left"/>
            </w:pPr>
            <w:r>
              <w:rPr>
                <w:bCs/>
                <w:b/>
              </w:rPr>
              <w:t xml:space="preserve">RETRACTED</w:t>
            </w:r>
          </w:p>
        </w:tc>
        <w:tc>
          <w:tcPr/>
          <w:p>
            <w:pPr>
              <w:pStyle w:val="Compact"/>
              <w:jc w:val="left"/>
            </w:pPr>
            <w:r>
              <w:t xml:space="preserve">Session 1 → 2</w:t>
            </w:r>
          </w:p>
        </w:tc>
        <w:tc>
          <w:tcPr/>
          <w:p>
            <w:pPr>
              <w:pStyle w:val="Compact"/>
              <w:jc w:val="left"/>
            </w:pPr>
            <w:r>
              <w:t xml:space="preserve">FILETIME bytes misinterpreted as SID structures</w:t>
            </w:r>
          </w:p>
        </w:tc>
      </w:tr>
      <w:tr>
        <w:tc>
          <w:tcPr/>
          <w:p>
            <w:pPr>
              <w:pStyle w:val="Compact"/>
              <w:jc w:val="left"/>
            </w:pPr>
            <w:r>
              <w:t xml:space="preserve">31238035 as rootkit namespace</w:t>
            </w:r>
          </w:p>
        </w:tc>
        <w:tc>
          <w:tcPr/>
          <w:p>
            <w:pPr>
              <w:pStyle w:val="Compact"/>
              <w:jc w:val="left"/>
            </w:pPr>
            <w:r>
              <w:rPr>
                <w:bCs/>
                <w:b/>
              </w:rPr>
              <w:t xml:space="preserve">RETRACTED</w:t>
            </w:r>
          </w:p>
        </w:tc>
        <w:tc>
          <w:tcPr/>
          <w:p>
            <w:pPr>
              <w:pStyle w:val="Compact"/>
              <w:jc w:val="left"/>
            </w:pPr>
            <w:r>
              <w:t xml:space="preserve">Session 1 → 2</w:t>
            </w:r>
          </w:p>
        </w:tc>
        <w:tc>
          <w:tcPr/>
          <w:p>
            <w:pPr>
              <w:pStyle w:val="Compact"/>
              <w:jc w:val="left"/>
            </w:pPr>
            <w:r>
              <w:t xml:space="preserve">Value is FILETIME high DWORD for Feb 27 2026</w:t>
            </w:r>
          </w:p>
        </w:tc>
      </w:tr>
      <w:tr>
        <w:tc>
          <w:tcPr/>
          <w:p>
            <w:pPr>
              <w:pStyle w:val="Compact"/>
              <w:jc w:val="left"/>
            </w:pPr>
            <w:r>
              <w:t xml:space="preserve">Teredo 2001:0000:3c65:893b:…</w:t>
            </w:r>
          </w:p>
        </w:tc>
        <w:tc>
          <w:tcPr/>
          <w:p>
            <w:pPr>
              <w:pStyle w:val="Compact"/>
              <w:jc w:val="left"/>
            </w:pPr>
            <w:r>
              <w:rPr>
                <w:bCs/>
                <w:b/>
              </w:rPr>
              <w:t xml:space="preserve">RETRACTED</w:t>
            </w:r>
          </w:p>
        </w:tc>
        <w:tc>
          <w:tcPr/>
          <w:p>
            <w:pPr>
              <w:pStyle w:val="Compact"/>
              <w:jc w:val="left"/>
            </w:pPr>
            <w:r>
              <w:t xml:space="preserve">Session 2</w:t>
            </w:r>
          </w:p>
        </w:tc>
        <w:tc>
          <w:tcPr/>
          <w:p>
            <w:pPr>
              <w:pStyle w:val="Compact"/>
              <w:jc w:val="left"/>
            </w:pPr>
            <w:r>
              <w:t xml:space="preserve">BinXML template bytes, not IPv6 address</w:t>
            </w:r>
          </w:p>
        </w:tc>
      </w:tr>
      <w:tr>
        <w:tc>
          <w:tcPr/>
          <w:p>
            <w:pPr>
              <w:pStyle w:val="Compact"/>
              <w:jc w:val="left"/>
            </w:pPr>
            <w:r>
              <w:t xml:space="preserve">AppleIDAMInterface as DFU-specific kext</w:t>
            </w:r>
          </w:p>
        </w:tc>
        <w:tc>
          <w:tcPr/>
          <w:p>
            <w:pPr>
              <w:pStyle w:val="Compact"/>
              <w:jc w:val="left"/>
            </w:pPr>
            <w:r>
              <w:t xml:space="preserve">RETRACTED</w:t>
            </w:r>
          </w:p>
        </w:tc>
        <w:tc>
          <w:tcPr/>
          <w:p>
            <w:pPr>
              <w:pStyle w:val="Compact"/>
              <w:jc w:val="left"/>
            </w:pPr>
            <w:r>
              <w:t xml:space="preserve">Prior</w:t>
            </w:r>
          </w:p>
        </w:tc>
        <w:tc>
          <w:tcPr/>
          <w:p>
            <w:pPr>
              <w:pStyle w:val="Compact"/>
              <w:jc w:val="left"/>
            </w:pPr>
            <w:r>
              <w:t xml:space="preserve">Loads on any USB connection</w:t>
            </w:r>
          </w:p>
        </w:tc>
      </w:tr>
      <w:tr>
        <w:tc>
          <w:tcPr/>
          <w:p>
            <w:pPr>
              <w:pStyle w:val="Compact"/>
              <w:jc w:val="left"/>
            </w:pPr>
            <w:r>
              <w:t xml:space="preserve">Serial/IMEI switching</w:t>
            </w:r>
          </w:p>
        </w:tc>
        <w:tc>
          <w:tcPr/>
          <w:p>
            <w:pPr>
              <w:pStyle w:val="Compact"/>
              <w:jc w:val="left"/>
            </w:pPr>
            <w:r>
              <w:t xml:space="preserve">RETRACTED</w:t>
            </w:r>
          </w:p>
        </w:tc>
        <w:tc>
          <w:tcPr/>
          <w:p>
            <w:pPr>
              <w:pStyle w:val="Compact"/>
              <w:jc w:val="left"/>
            </w:pPr>
            <w:r>
              <w:t xml:space="preserve">Prior</w:t>
            </w:r>
          </w:p>
        </w:tc>
        <w:tc>
          <w:tcPr/>
          <w:p>
            <w:pPr>
              <w:pStyle w:val="Compact"/>
              <w:jc w:val="left"/>
            </w:pPr>
            <w:r>
              <w:t xml:space="preserve">Insufficient evidence</w:t>
            </w:r>
          </w:p>
        </w:tc>
      </w:tr>
      <w:tr>
        <w:tc>
          <w:tcPr/>
          <w:p>
            <w:pPr>
              <w:pStyle w:val="Compact"/>
              <w:jc w:val="left"/>
            </w:pPr>
            <w:r>
              <w:t xml:space="preserve">securityd keychain uploads as exfil</w:t>
            </w:r>
          </w:p>
        </w:tc>
        <w:tc>
          <w:tcPr/>
          <w:p>
            <w:pPr>
              <w:pStyle w:val="Compact"/>
              <w:jc w:val="left"/>
            </w:pPr>
            <w:r>
              <w:t xml:space="preserve">RECONTEXTUALISED</w:t>
            </w:r>
          </w:p>
        </w:tc>
        <w:tc>
          <w:tcPr/>
          <w:p>
            <w:pPr>
              <w:pStyle w:val="Compact"/>
              <w:jc w:val="left"/>
            </w:pPr>
            <w:r>
              <w:t xml:space="preserve">Prior</w:t>
            </w:r>
          </w:p>
        </w:tc>
        <w:tc>
          <w:tcPr/>
          <w:p>
            <w:pPr>
              <w:pStyle w:val="Compact"/>
              <w:jc w:val="left"/>
            </w:pPr>
            <w:r>
              <w:t xml:space="preserve">User credential migration</w:t>
            </w:r>
          </w:p>
        </w:tc>
      </w:tr>
      <w:tr>
        <w:tc>
          <w:tcPr/>
          <w:p>
            <w:pPr>
              <w:pStyle w:val="Compact"/>
              <w:jc w:val="left"/>
            </w:pPr>
            <w:r>
              <w:t xml:space="preserve">ProtectedCloudStorage 19-record upload</w:t>
            </w:r>
          </w:p>
        </w:tc>
        <w:tc>
          <w:tcPr/>
          <w:p>
            <w:pPr>
              <w:pStyle w:val="Compact"/>
              <w:jc w:val="left"/>
            </w:pPr>
            <w:r>
              <w:t xml:space="preserve">RECONTEXTUALISED</w:t>
            </w:r>
          </w:p>
        </w:tc>
        <w:tc>
          <w:tcPr/>
          <w:p>
            <w:pPr>
              <w:pStyle w:val="Compact"/>
              <w:jc w:val="left"/>
            </w:pPr>
            <w:r>
              <w:t xml:space="preserve">Prior</w:t>
            </w:r>
          </w:p>
        </w:tc>
        <w:tc>
          <w:tcPr/>
          <w:p>
            <w:pPr>
              <w:pStyle w:val="Compact"/>
              <w:jc w:val="left"/>
            </w:pPr>
            <w:r>
              <w:t xml:space="preserve">User staging data pre-DFU</w:t>
            </w:r>
          </w:p>
        </w:tc>
      </w:tr>
    </w:tbl>
    <w:p>
      <w:r>
        <w:pict>
          <v:rect style="width:0;height:1.5pt" o:hralign="center" o:hrstd="t" o:hr="t"/>
        </w:pict>
      </w:r>
    </w:p>
    <w:p>
      <w:pPr>
        <w:pStyle w:val="FirstParagraph"/>
      </w:pPr>
      <w:r>
        <w:rPr>
          <w:bCs/>
          <w:b/>
        </w:rPr>
        <w:t xml:space="preserve">INCIDENT ACTIVE — DO NOT REMEDIATE WITHOUT ISOLATED CLEAN MACHINE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2026-03-12T14:33:23Z</dcterms:created>
  <dcterms:modified xsi:type="dcterms:W3CDTF">2026-03-12T14:33:23Z</dcterms:modified>
</cp:coreProperties>
</file>

<file path=docProps/custom.xml><?xml version="1.0" encoding="utf-8"?>
<Properties xmlns="http://schemas.openxmlformats.org/officeDocument/2006/custom-properties" xmlns:vt="http://schemas.openxmlformats.org/officeDocument/2006/docPropsVTypes"/>
</file>