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9E30FE" w14:textId="77777777" w:rsidR="008A37A4" w:rsidRDefault="001C7DB9" w:rsidP="00CF7C0D">
      <w:pPr>
        <w:pStyle w:val="Title"/>
      </w:pPr>
      <w:bookmarkStart w:id="0" w:name="final-project-proposal"/>
      <w:r>
        <w:t>Final Project Proposal</w:t>
      </w:r>
    </w:p>
    <w:p w14:paraId="0FCA5C37" w14:textId="77777777" w:rsidR="008A37A4" w:rsidRPr="00CF7C0D" w:rsidRDefault="001C7DB9" w:rsidP="00CF7C0D">
      <w:pPr>
        <w:pStyle w:val="Heading1"/>
      </w:pPr>
      <w:bookmarkStart w:id="1" w:name="basics"/>
      <w:r w:rsidRPr="00CF7C0D">
        <w:t>Basics</w:t>
      </w:r>
    </w:p>
    <w:p w14:paraId="61405896" w14:textId="77777777" w:rsidR="008A37A4" w:rsidRDefault="001C7DB9">
      <w:r>
        <w:rPr>
          <w:b/>
          <w:bCs/>
        </w:rPr>
        <w:t>Title:</w:t>
      </w:r>
      <w:r>
        <w:t xml:space="preserve"> Predicting White Elephant Risk in Olympic and World Cup Venues Using Machine Learning</w:t>
      </w:r>
    </w:p>
    <w:p w14:paraId="7C934B94" w14:textId="77777777" w:rsidR="008A37A4" w:rsidRDefault="001C7DB9">
      <w:r>
        <w:rPr>
          <w:b/>
          <w:bCs/>
        </w:rPr>
        <w:t>Team / roles:</w:t>
      </w:r>
      <w:r>
        <w:t xml:space="preserve"> Jonathan Layne (Team Lead), Martin Gotora (Documentation Lead), Brian Wrenn (Communication Lead)</w:t>
      </w:r>
    </w:p>
    <w:p w14:paraId="39C76BD8" w14:textId="77777777" w:rsidR="008A37A4" w:rsidRDefault="001C7DB9">
      <w:r>
        <w:rPr>
          <w:b/>
          <w:bCs/>
        </w:rPr>
        <w:t>Team name:</w:t>
      </w:r>
      <w:r>
        <w:t xml:space="preserve"> Gamma</w:t>
      </w:r>
    </w:p>
    <w:p w14:paraId="328119B5" w14:textId="77777777" w:rsidR="008A37A4" w:rsidRDefault="001C7DB9">
      <w:r>
        <w:rPr>
          <w:b/>
          <w:bCs/>
        </w:rPr>
        <w:t>GitHub repo:</w:t>
      </w:r>
      <w:r>
        <w:t xml:space="preserve"> </w:t>
      </w:r>
      <w:hyperlink r:id="rId5">
        <w:r>
          <w:rPr>
            <w:rStyle w:val="Hyperlink"/>
          </w:rPr>
          <w:t>https://github.com/Smoothspinner/sports-urbanism-capstone</w:t>
        </w:r>
      </w:hyperlink>
      <w:bookmarkEnd w:id="1"/>
    </w:p>
    <w:p w14:paraId="1DC3FF3C" w14:textId="77777777" w:rsidR="008A37A4" w:rsidRDefault="001C7DB9" w:rsidP="00A12EC0">
      <w:pPr>
        <w:pStyle w:val="Heading1"/>
      </w:pPr>
      <w:bookmarkStart w:id="2" w:name="background-question"/>
      <w:r w:rsidRPr="00A12EC0">
        <w:t>Background</w:t>
      </w:r>
      <w:r>
        <w:t xml:space="preserve"> &amp; Question</w:t>
      </w:r>
    </w:p>
    <w:p w14:paraId="03236968" w14:textId="09ED0526" w:rsidR="008A37A4" w:rsidRDefault="001C7DB9" w:rsidP="00CF7C0D">
      <w:pPr>
        <w:spacing w:line="240" w:lineRule="auto"/>
      </w:pPr>
      <w:proofErr w:type="gramStart"/>
      <w:r>
        <w:t>Some</w:t>
      </w:r>
      <w:proofErr w:type="gramEnd"/>
      <w:r>
        <w:t xml:space="preserve"> Olympic and World Cup venues go unused after the event: “white elephants.” Prior work</w:t>
      </w:r>
      <w:r w:rsidR="00CF7C0D">
        <w:t xml:space="preserve"> </w:t>
      </w:r>
      <w:r>
        <w:t xml:space="preserve">explains them after the fact. No one </w:t>
      </w:r>
      <w:proofErr w:type="gramStart"/>
      <w:r>
        <w:t>appears to predict</w:t>
      </w:r>
      <w:proofErr w:type="gramEnd"/>
      <w:r>
        <w:t xml:space="preserve"> them. That is our gap.</w:t>
      </w:r>
    </w:p>
    <w:p w14:paraId="42B474B3" w14:textId="77777777" w:rsidR="00CF7C0D" w:rsidRDefault="00CF7C0D">
      <w:pPr>
        <w:pStyle w:val="BodyText"/>
      </w:pPr>
    </w:p>
    <w:p w14:paraId="008F6EA3" w14:textId="48DF89C0" w:rsidR="008A37A4" w:rsidRDefault="001C7DB9">
      <w:pPr>
        <w:pStyle w:val="BodyText"/>
        <w:rPr>
          <w:shd w:val="clear" w:color="auto" w:fill="FFFF00"/>
        </w:rPr>
      </w:pPr>
      <w:r>
        <w:t xml:space="preserve">Hosting is expensive, and the record on budgets is poor. The Olympics run over budget more than any other type of megaproject, by an average of 156% in real terms, and every Games since 1960 has cost more than planned (Flyvbjerg et al., 2016; Flyvbjerg et al., 2024). Venues absorb a large share of that spending. A venue that falls out of use keeps costing money long after the closing ceremony. Cities pay to maintain it, secure it, and eventually tear it down. FIFA and the IOC take the event's revenue and carry little of the cost (Alm et al., 2016). This is the money our model </w:t>
      </w:r>
      <w:proofErr w:type="gramStart"/>
      <w:r>
        <w:t>is built</w:t>
      </w:r>
      <w:proofErr w:type="gramEnd"/>
      <w:r>
        <w:t xml:space="preserve"> to protect. A risk flag at the planning stage lets a bid committee redesign or drop a venue while changing it is still cheap.</w:t>
      </w:r>
    </w:p>
    <w:p w14:paraId="19940B02" w14:textId="77777777" w:rsidR="008A37A4" w:rsidRDefault="001C7DB9">
      <w:pPr>
        <w:pStyle w:val="BodyText"/>
      </w:pPr>
      <w:r>
        <w:rPr>
          <w:b/>
          <w:bCs/>
        </w:rPr>
        <w:t>What is our research question?</w:t>
      </w:r>
      <w:r>
        <w:t xml:space="preserve"> Can pre-construction information (design, capacity, event type, host-country income/corruption, newly built status, distance to the host city center) predict active use vs. white elephant?</w:t>
      </w:r>
    </w:p>
    <w:p w14:paraId="5F770125" w14:textId="77777777" w:rsidR="008A37A4" w:rsidRDefault="001C7DB9">
      <w:pPr>
        <w:pStyle w:val="BodyText"/>
      </w:pPr>
      <w:r>
        <w:rPr>
          <w:b/>
          <w:bCs/>
        </w:rPr>
        <w:t>Why is this question interesting or important?</w:t>
      </w:r>
      <w:r>
        <w:t xml:space="preserve"> Cities </w:t>
      </w:r>
      <w:proofErr w:type="gramStart"/>
      <w:r>
        <w:t>commit</w:t>
      </w:r>
      <w:proofErr w:type="gramEnd"/>
      <w:r>
        <w:t xml:space="preserve"> public money years before venues </w:t>
      </w:r>
      <w:proofErr w:type="gramStart"/>
      <w:r>
        <w:t>exist</w:t>
      </w:r>
      <w:proofErr w:type="gramEnd"/>
      <w:r>
        <w:t>. An early-warning model flags bad plans on paper, not after a half-built stadium.</w:t>
      </w:r>
    </w:p>
    <w:p w14:paraId="7373C2B5" w14:textId="77777777" w:rsidR="008A37A4" w:rsidRDefault="001C7DB9">
      <w:pPr>
        <w:pStyle w:val="BodyText"/>
      </w:pPr>
      <w:r>
        <w:rPr>
          <w:b/>
          <w:bCs/>
        </w:rPr>
        <w:t>What real-world problem, need, or niche does it address?</w:t>
      </w:r>
      <w:r>
        <w:t xml:space="preserve"> Cities bidding to host must already explain how each new venue will </w:t>
      </w:r>
      <w:proofErr w:type="gramStart"/>
      <w:r>
        <w:t>be used</w:t>
      </w:r>
      <w:proofErr w:type="gramEnd"/>
      <w:r>
        <w:t xml:space="preserve"> after the games, but the cities write those plans themselves. The IOC does track how past venues turned out, yet as far as we can tell no one uses that history to score new plans. We can build the link.</w:t>
      </w:r>
    </w:p>
    <w:p w14:paraId="3B019D1B" w14:textId="77777777" w:rsidR="008A37A4" w:rsidRDefault="001C7DB9">
      <w:pPr>
        <w:pStyle w:val="BodyText"/>
      </w:pPr>
      <w:r>
        <w:rPr>
          <w:b/>
        </w:rPr>
        <w:t xml:space="preserve">Why is this a worthwhile data science problem? </w:t>
      </w:r>
      <w:r>
        <w:t xml:space="preserve">The outcomes are already on record: the IOC tracked what became of its venues, and we labeled the World Cup side ourselves. </w:t>
      </w:r>
      <w:proofErr w:type="gramStart"/>
      <w:r>
        <w:t>So</w:t>
      </w:r>
      <w:proofErr w:type="gramEnd"/>
      <w:r>
        <w:t xml:space="preserve"> we can train a model on </w:t>
      </w:r>
      <w:proofErr w:type="gramStart"/>
      <w:r>
        <w:t>most of</w:t>
      </w:r>
      <w:proofErr w:type="gramEnd"/>
      <w:r>
        <w:t xml:space="preserve"> the tournaments and </w:t>
      </w:r>
      <w:proofErr w:type="gramStart"/>
      <w:r>
        <w:t>test</w:t>
      </w:r>
      <w:proofErr w:type="gramEnd"/>
      <w:r>
        <w:t xml:space="preserve"> it on the rest, which no case study of a single stadium can </w:t>
      </w:r>
      <w:r>
        <w:lastRenderedPageBreak/>
        <w:t xml:space="preserve">offer. The failures being rare makes the modeling harder, but it is a well-studied situation, and our evaluation plan </w:t>
      </w:r>
      <w:proofErr w:type="gramStart"/>
      <w:r>
        <w:t>is built</w:t>
      </w:r>
      <w:proofErr w:type="gramEnd"/>
      <w:r>
        <w:t xml:space="preserve"> around it.</w:t>
      </w:r>
    </w:p>
    <w:p w14:paraId="47F4D852" w14:textId="77777777" w:rsidR="008A37A4" w:rsidRDefault="001C7DB9">
      <w:pPr>
        <w:pStyle w:val="BodyText"/>
      </w:pPr>
      <w:r>
        <w:rPr>
          <w:b/>
          <w:bCs/>
        </w:rPr>
        <w:t>Who is the primary stakeholder?</w:t>
      </w:r>
      <w:r>
        <w:t xml:space="preserve"> Host-city bid committees and government planning offices. They are politically accountable and mostly non-technical, so they need a model whose reasons they can read and defend in public. That is why our plan starts </w:t>
      </w:r>
      <w:proofErr w:type="gramStart"/>
      <w:r>
        <w:t>from</w:t>
      </w:r>
      <w:proofErr w:type="gramEnd"/>
      <w:r>
        <w:t xml:space="preserve"> logistic regression and, for anything more complex, reports which factors mattered most to the prediction. There is also a structural reason cities need their own risk check: the event owners capture most of the gains while host cities absorb the venue costs and the aftermath (Alm et al., 2016), so the incentives of the organizations running the bid process are not aligned with the city’s long-term interest.</w:t>
      </w:r>
    </w:p>
    <w:p w14:paraId="171B8E85" w14:textId="77777777" w:rsidR="008A37A4" w:rsidRDefault="001C7DB9">
      <w:pPr>
        <w:pStyle w:val="BodyText"/>
      </w:pPr>
      <w:r>
        <w:rPr>
          <w:b/>
          <w:bCs/>
        </w:rPr>
        <w:t>Are there ethical considerations?</w:t>
      </w:r>
      <w:r>
        <w:t xml:space="preserve"> Yes, and we want to name the main one up front. Two of our predictors are host-country income and corruption. That means a model like ours could </w:t>
      </w:r>
      <w:proofErr w:type="gramStart"/>
      <w:r>
        <w:t>be read</w:t>
      </w:r>
      <w:proofErr w:type="gramEnd"/>
      <w:r>
        <w:t xml:space="preserve"> as an argument that poorer countries, or countries with worse corruption scores, should not get to host, which would keep mega-events in rich Western cities. That is not how we intend it. The model is meant as a planning tool: it flags a risky venue plan early enough to fix it (a smaller venue, a reuse plan, an existing stadium) rather than serving as a reason to reject a bid. We will say this plainly in the final report, and we will check whether the model’s mistakes fall more heavily on any one region or income group.</w:t>
      </w:r>
    </w:p>
    <w:p w14:paraId="173737CC" w14:textId="77777777" w:rsidR="008A37A4" w:rsidRDefault="001C7DB9">
      <w:pPr>
        <w:pStyle w:val="BodyText"/>
      </w:pPr>
      <w:r>
        <w:rPr>
          <w:b/>
          <w:bCs/>
        </w:rPr>
        <w:t xml:space="preserve">Has this </w:t>
      </w:r>
      <w:proofErr w:type="gramStart"/>
      <w:r>
        <w:rPr>
          <w:b/>
          <w:bCs/>
        </w:rPr>
        <w:t>been explored</w:t>
      </w:r>
      <w:proofErr w:type="gramEnd"/>
      <w:r>
        <w:rPr>
          <w:b/>
          <w:bCs/>
        </w:rPr>
        <w:t xml:space="preserve"> before?</w:t>
      </w:r>
      <w:r>
        <w:t xml:space="preserve"> Partly. Alm et al. (2016) measured how venues from 1996 to 2010 </w:t>
      </w:r>
      <w:proofErr w:type="gramStart"/>
      <w:r>
        <w:t>were used</w:t>
      </w:r>
      <w:proofErr w:type="gramEnd"/>
      <w:r>
        <w:t xml:space="preserve"> after their event and found ownership, capacity and corruption mattered. But every venue in that study </w:t>
      </w:r>
      <w:proofErr w:type="gramStart"/>
      <w:r>
        <w:t>was newly built</w:t>
      </w:r>
      <w:proofErr w:type="gramEnd"/>
      <w:r>
        <w:t xml:space="preserve"> for its event, and they had to drop smaller venues because of data collection problems, so the study could not compare new venues with existing ones. Our data can: the IOC report labels each venue as new or existing, includes venues beyond the main stadium, and covers a much longer period. Muller (2015) catalogs recurring planning failures that explain why bid-stage plans are systematically too optimistic. Individual stadium case studies exist too, including one on London’s 2012 venues (Davis, 2020). Nothing we have seen builds a model trained on </w:t>
      </w:r>
      <w:proofErr w:type="gramStart"/>
      <w:r>
        <w:t>some</w:t>
      </w:r>
      <w:proofErr w:type="gramEnd"/>
      <w:r>
        <w:t xml:space="preserve"> venues and </w:t>
      </w:r>
      <w:proofErr w:type="gramStart"/>
      <w:r>
        <w:t>tested</w:t>
      </w:r>
      <w:proofErr w:type="gramEnd"/>
      <w:r>
        <w:t xml:space="preserve"> on venues it never saw. Ours would. One caveat: Alm et al. found ownership mattered </w:t>
      </w:r>
      <w:proofErr w:type="gramStart"/>
      <w:r>
        <w:t>most of</w:t>
      </w:r>
      <w:proofErr w:type="gramEnd"/>
      <w:r>
        <w:t xml:space="preserve"> all, and the IOC report does not record ownership, so we list that as a limitation and describe this model as a first pass.</w:t>
      </w:r>
    </w:p>
    <w:p w14:paraId="3C64386B" w14:textId="77777777" w:rsidR="008A37A4" w:rsidRDefault="001C7DB9">
      <w:pPr>
        <w:pStyle w:val="BodyText"/>
      </w:pPr>
      <w:r>
        <w:rPr>
          <w:b/>
          <w:bCs/>
        </w:rPr>
        <w:t>Hypothesis:</w:t>
      </w:r>
      <w:r>
        <w:t xml:space="preserve"> Venues that are newly built, single-purpose, and far from the host city center become white elephants more often, because long-term use was never the point of building them.</w:t>
      </w:r>
    </w:p>
    <w:p w14:paraId="6BD53A42" w14:textId="77777777" w:rsidR="008A37A4" w:rsidRDefault="001C7DB9">
      <w:pPr>
        <w:pStyle w:val="BodyText"/>
      </w:pPr>
      <w:r>
        <w:rPr>
          <w:b/>
          <w:bCs/>
        </w:rPr>
        <w:t>Prediction:</w:t>
      </w:r>
      <w:r>
        <w:t xml:space="preserve"> Newly built status and design purpose come out as the strongest predictors; the model beats a naive guess.</w:t>
      </w:r>
      <w:bookmarkEnd w:id="2"/>
    </w:p>
    <w:p w14:paraId="6E28EA90" w14:textId="77777777" w:rsidR="008A37A4" w:rsidRDefault="001C7DB9">
      <w:pPr>
        <w:pStyle w:val="BodyText"/>
      </w:pPr>
      <w:r>
        <w:rPr>
          <w:b/>
        </w:rPr>
        <w:t xml:space="preserve">Why these fit the question: </w:t>
      </w:r>
      <w:r>
        <w:t xml:space="preserve">Whether a venue is newly built, what it </w:t>
      </w:r>
      <w:proofErr w:type="gramStart"/>
      <w:r>
        <w:t>is designed</w:t>
      </w:r>
      <w:proofErr w:type="gramEnd"/>
      <w:r>
        <w:t xml:space="preserve"> for, and where it is located are all known before construction starts. If the hypothesis holds, the risk is visible on paper, which is what the research question asks. Alm et al. found capacity and corruption mattered. Every venue in their study was newly built, though, so they could not ask whether the choice to build new matters too; our hypothesis says it does. The prediction is the hypothesis made observable: if we are right, the model should lean hardest on those pre-construction choices and beat a naive guess.</w:t>
      </w:r>
    </w:p>
    <w:p w14:paraId="32BB886E" w14:textId="77777777" w:rsidR="008A37A4" w:rsidRDefault="001C7DB9" w:rsidP="00A12EC0">
      <w:pPr>
        <w:pStyle w:val="Heading1"/>
      </w:pPr>
      <w:bookmarkStart w:id="3" w:name="data-analysis"/>
      <w:r>
        <w:lastRenderedPageBreak/>
        <w:t>Data &amp; Analysis</w:t>
      </w:r>
    </w:p>
    <w:p w14:paraId="5F6DB003" w14:textId="77777777" w:rsidR="008A37A4" w:rsidRDefault="001C7DB9">
      <w:r>
        <w:rPr>
          <w:b/>
          <w:bCs/>
        </w:rPr>
        <w:t>Datasets identified:</w:t>
      </w:r>
    </w:p>
    <w:p w14:paraId="0E064AF2" w14:textId="77777777" w:rsidR="008A37A4" w:rsidRDefault="001C7DB9">
      <w:r>
        <w:t xml:space="preserve">Fjelstul World Cup Database (GitHub, clean CSV): </w:t>
      </w:r>
      <w:hyperlink r:id="rId6">
        <w:r>
          <w:rPr>
            <w:rStyle w:val="Hyperlink"/>
          </w:rPr>
          <w:t>https://github.com/jfjelstul/worldcup</w:t>
        </w:r>
      </w:hyperlink>
    </w:p>
    <w:p w14:paraId="2275CFF3" w14:textId="77777777" w:rsidR="008A37A4" w:rsidRDefault="008A37A4"/>
    <w:p w14:paraId="1CB7734C" w14:textId="77777777" w:rsidR="008A37A4" w:rsidRDefault="001C7DB9">
      <w:r>
        <w:t xml:space="preserve">IOC, “Over 125 Years of Olympic Venues: Post-Games Use” (316-page PDF report): </w:t>
      </w:r>
      <w:hyperlink r:id="rId7">
        <w:r>
          <w:rPr>
            <w:rStyle w:val="Hyperlink"/>
          </w:rPr>
          <w:t>https://stillmed.olympics.com/media/Documents/Olympic-Games/Olympic-legacy/Full-report-venues-post-games-use.pdf</w:t>
        </w:r>
      </w:hyperlink>
    </w:p>
    <w:p w14:paraId="44CEF22A" w14:textId="77777777" w:rsidR="008A37A4" w:rsidRDefault="008A37A4"/>
    <w:p w14:paraId="522D2101" w14:textId="77777777" w:rsidR="008A37A4" w:rsidRDefault="001C7DB9">
      <w:r>
        <w:t xml:space="preserve">World Bank GDP per capita, for host-country income (1960 onward): </w:t>
      </w:r>
      <w:hyperlink r:id="rId8">
        <w:r>
          <w:rPr>
            <w:rStyle w:val="Hyperlink"/>
          </w:rPr>
          <w:t>https://data.worldbank.org/indicator/NY.GDP.PCAP.CD</w:t>
        </w:r>
      </w:hyperlink>
    </w:p>
    <w:p w14:paraId="285804D9" w14:textId="77777777" w:rsidR="008A37A4" w:rsidRDefault="008A37A4"/>
    <w:p w14:paraId="53BEB85F" w14:textId="77777777" w:rsidR="008A37A4" w:rsidRDefault="001C7DB9">
      <w:r>
        <w:t xml:space="preserve">Transparency International Corruption Perceptions Index, for host-country corruption (1995 onward, comparable from 2012): </w:t>
      </w:r>
      <w:hyperlink r:id="rId9">
        <w:r>
          <w:rPr>
            <w:rStyle w:val="Hyperlink"/>
          </w:rPr>
          <w:t>https://www.transparency.org/en/cpi</w:t>
        </w:r>
      </w:hyperlink>
    </w:p>
    <w:p w14:paraId="56B3EF8C" w14:textId="77777777" w:rsidR="008A37A4" w:rsidRDefault="008A37A4"/>
    <w:p w14:paraId="4FF9C24C" w14:textId="77777777" w:rsidR="008A37A4" w:rsidRDefault="001C7DB9">
      <w:r>
        <w:t xml:space="preserve">UN World Urbanization Prospects, for host-city population at the bid year (candidate, pending EDA): </w:t>
      </w:r>
      <w:hyperlink r:id="rId10">
        <w:r>
          <w:rPr>
            <w:rStyle w:val="Hyperlink"/>
          </w:rPr>
          <w:t>https://population.un.org/wup/downloads</w:t>
        </w:r>
      </w:hyperlink>
    </w:p>
    <w:p w14:paraId="3B9FC1CA" w14:textId="77777777" w:rsidR="008A37A4" w:rsidRDefault="001C7DB9">
      <w:r>
        <w:t xml:space="preserve">Wikidata, for stadium coordinates and for cross-checking our hand labels (pulled per stadium via its Wikipedia article): </w:t>
      </w:r>
      <w:hyperlink r:id="rId11">
        <w:r>
          <w:rPr>
            <w:rStyle w:val="Hyperlink"/>
          </w:rPr>
          <w:t>https://www.wikidata.org</w:t>
        </w:r>
      </w:hyperlink>
    </w:p>
    <w:p w14:paraId="7ADA3699" w14:textId="77777777" w:rsidR="008A37A4" w:rsidRDefault="008A37A4"/>
    <w:p w14:paraId="206D9215" w14:textId="77777777" w:rsidR="008A37A4" w:rsidRDefault="001C7DB9">
      <w:r>
        <w:rPr>
          <w:b/>
          <w:bCs/>
        </w:rPr>
        <w:t>What we have already built.</w:t>
      </w:r>
      <w:r>
        <w:t xml:space="preserve"> Since the preliminary proposal we </w:t>
      </w:r>
      <w:proofErr w:type="gramStart"/>
      <w:r>
        <w:t>closed</w:t>
      </w:r>
      <w:proofErr w:type="gramEnd"/>
      <w:r>
        <w:t xml:space="preserve"> the biggest data gap ourselves. The World Cup side now has a finished stadium table: one row per stadium per tournament appearance (265 rows across all 30 tournaments, men’s and women’s), each of which we labeled by hand from the stadium's Wikipedia article with design purpose, newly built status, and current status, plus a status detail field (why a venue is out of use) and the venue’s opening year. We also built a lookup of when </w:t>
      </w:r>
      <w:r>
        <w:lastRenderedPageBreak/>
        <w:t xml:space="preserve">each of the </w:t>
      </w:r>
      <w:proofErr w:type="gramStart"/>
      <w:r>
        <w:t>30</w:t>
      </w:r>
      <w:proofErr w:type="gramEnd"/>
      <w:r>
        <w:t xml:space="preserve"> tournaments </w:t>
      </w:r>
      <w:proofErr w:type="gramStart"/>
      <w:r>
        <w:t>was awarded</w:t>
      </w:r>
      <w:proofErr w:type="gramEnd"/>
      <w:r>
        <w:t xml:space="preserve"> to its host, because newly built has to </w:t>
      </w:r>
      <w:proofErr w:type="gramStart"/>
      <w:r>
        <w:t>be judged</w:t>
      </w:r>
      <w:proofErr w:type="gramEnd"/>
      <w:r>
        <w:t xml:space="preserve"> against the award date, not the tournament date. A Wikidata pull we keyed on each stadium's Wikipedia page supplies coordinates for 239 of 240 stadiums, which makes the distance-to-city-center predictor computable on the World Cup side. We found duplicate stadium rows in the source (same building under variant spellings) and merged them. On the Olympic side, we have already extracted the venue tables from the IOC report into a structured spreadsheet, now in our repo (data/raw/VenueReportsV1.xlsx).</w:t>
      </w:r>
    </w:p>
    <w:p w14:paraId="2689E4E8" w14:textId="77777777" w:rsidR="008A37A4" w:rsidRDefault="008A37A4"/>
    <w:p w14:paraId="131F5161" w14:textId="77777777" w:rsidR="008A37A4" w:rsidRDefault="001C7DB9">
      <w:pPr>
        <w:pStyle w:val="BodyText"/>
      </w:pPr>
      <w:r>
        <w:rPr>
          <w:b/>
          <w:bCs/>
        </w:rPr>
        <w:t xml:space="preserve">Why </w:t>
      </w:r>
      <w:proofErr w:type="gramStart"/>
      <w:r>
        <w:rPr>
          <w:b/>
          <w:bCs/>
        </w:rPr>
        <w:t>these</w:t>
      </w:r>
      <w:proofErr w:type="gramEnd"/>
      <w:r>
        <w:rPr>
          <w:b/>
          <w:bCs/>
        </w:rPr>
        <w:t xml:space="preserve"> data are appropriate:</w:t>
      </w:r>
      <w:r>
        <w:t xml:space="preserve"> The first two cover both event types and give us more venues to learn from </w:t>
      </w:r>
      <w:proofErr w:type="gramStart"/>
      <w:r>
        <w:t>than either</w:t>
      </w:r>
      <w:proofErr w:type="gramEnd"/>
      <w:r>
        <w:t xml:space="preserve"> alone. The IOC report also records what became of every Olympic venue, which is the outcome we want to predict. The Fjelstul database does not record outcomes, so we determined current use for the World Cup venues ourselves (see above); each stadium’s Wikipedia link </w:t>
      </w:r>
      <w:proofErr w:type="gramStart"/>
      <w:r>
        <w:t>is included</w:t>
      </w:r>
      <w:proofErr w:type="gramEnd"/>
      <w:r>
        <w:t xml:space="preserve"> in the data, which is what made that feasible. The World Bank and CPI data add host-country income and corruption as predictors, joined by country and the actual award year of each tournament rather than the year of the Games, so we are not using numbers the bid committee could not have known yet.</w:t>
      </w:r>
    </w:p>
    <w:p w14:paraId="3381B973" w14:textId="77777777" w:rsidR="008A37A4" w:rsidRDefault="001C7DB9">
      <w:pPr>
        <w:pStyle w:val="BodyText"/>
      </w:pPr>
      <w:r>
        <w:rPr>
          <w:b/>
          <w:bCs/>
        </w:rPr>
        <w:t>How we obtain them:</w:t>
      </w:r>
      <w:r>
        <w:t xml:space="preserve"> Fjelstul is a clean CSV on GitHub. The IOC report is a PDF; its “Venues at a Glance” tables extract to text with a pdf-to-text tool plus a small parsing script. The World Bank, CPI and UN population data download as spreadsheet files.</w:t>
      </w:r>
    </w:p>
    <w:p w14:paraId="12B447FF" w14:textId="77777777" w:rsidR="008A37A4" w:rsidRDefault="001C7DB9">
      <w:pPr>
        <w:pStyle w:val="BodyText"/>
      </w:pPr>
      <w:r>
        <w:rPr>
          <w:b/>
        </w:rPr>
        <w:t xml:space="preserve">How the original data </w:t>
      </w:r>
      <w:proofErr w:type="gramStart"/>
      <w:r>
        <w:rPr>
          <w:b/>
        </w:rPr>
        <w:t>were collected</w:t>
      </w:r>
      <w:proofErr w:type="gramEnd"/>
      <w:r>
        <w:rPr>
          <w:b/>
        </w:rPr>
        <w:t xml:space="preserve">: </w:t>
      </w:r>
      <w:proofErr w:type="gramStart"/>
      <w:r>
        <w:t>The IOC report is published by the IOC's own Olympic Studies Centre</w:t>
      </w:r>
      <w:proofErr w:type="gramEnd"/>
      <w:r>
        <w:t>. It checked venues against published sources (venue, city and owner websites, the official Games reports, satellite images), visited about a third of them in person (307 of 982), and had the results reviewed by local stakeholders such as venue owners and city governments. It assessed use status as of 2024 (IOC, 2025, pp. 6-8). The Fjelstul database is one researcher's compilation with a published codebook, not FIFA's official data, so we do not take it on trust: we found and merged duplicate stadium rows in it, and we cross-checked the labels we added on top against a separate Wikidata pull. World Bank income figures come from countries' own national accounts. The CPI does not measure corruption directly: it combines at least three of thirteen expert and business surveys per country, and its 2012 methodology change is why we only use scores from 2012 onward.</w:t>
      </w:r>
    </w:p>
    <w:p w14:paraId="293AC599" w14:textId="77777777" w:rsidR="008A37A4" w:rsidRDefault="001C7DB9">
      <w:pPr>
        <w:pStyle w:val="BodyText"/>
      </w:pPr>
      <w:r>
        <w:rPr>
          <w:b/>
          <w:bCs/>
        </w:rPr>
        <w:t>Target variable:</w:t>
      </w:r>
      <w:r>
        <w:t xml:space="preserve"> Did the venue stay active or become a white elephant? The IOC report records each venue as in use, not in use, or dismantled, with qualifiers such as in use (rebuilt) or not in use (demolished). We follow the IOC’s own conventions on both halves of the data so the target means the same thing everywhere: a stadium rebuilt on its own site counts as in use, and a venue only counts as newly built if it did not exist when the host was selected or was fully demolished and rebuilt for the event; heavy renovation alone does not count. The white elephant label itself is not hand-coded anywhere; one shared function derives it from status plus the recorded reason, counting abandonment </w:t>
      </w:r>
      <w:r>
        <w:lastRenderedPageBreak/>
        <w:t xml:space="preserve">and lack-of-use failures and excluding war losses, end-of-life replacement, and urban redevelopment. Temporary venues, ones that were always meant to come down, </w:t>
      </w:r>
      <w:proofErr w:type="gramStart"/>
      <w:r>
        <w:t>are excluded</w:t>
      </w:r>
      <w:proofErr w:type="gramEnd"/>
      <w:r>
        <w:t xml:space="preserve"> (e.g., Qatar 2022’s Stadium 974, a dismountable container stadium). Applying this rule to the finished World Cup table yields only three failure-shaped venues out of 238, which tells us two important things early: failures </w:t>
      </w:r>
      <w:proofErr w:type="gramStart"/>
      <w:r>
        <w:t>are heavily outnumbered</w:t>
      </w:r>
      <w:proofErr w:type="gramEnd"/>
      <w:r>
        <w:t xml:space="preserve"> by survivors, and </w:t>
      </w:r>
      <w:proofErr w:type="gramStart"/>
      <w:r>
        <w:t>most of</w:t>
      </w:r>
      <w:proofErr w:type="gramEnd"/>
      <w:r>
        <w:t xml:space="preserve"> our failure examples will have to come from the Olympic side.</w:t>
      </w:r>
    </w:p>
    <w:p w14:paraId="4EBB4EC1" w14:textId="77777777" w:rsidR="008A37A4" w:rsidRDefault="001C7DB9">
      <w:pPr>
        <w:pStyle w:val="BodyText"/>
      </w:pPr>
      <w:r>
        <w:rPr>
          <w:b/>
          <w:bCs/>
        </w:rPr>
        <w:t>Key predictors:</w:t>
      </w:r>
      <w:r>
        <w:t xml:space="preserve"> design purpose, event type, host-country income, newly built status, capacity, host-country corruption, and distance from </w:t>
      </w:r>
      <w:proofErr w:type="gramStart"/>
      <w:r>
        <w:t>the venue to the</w:t>
      </w:r>
      <w:proofErr w:type="gramEnd"/>
      <w:r>
        <w:t xml:space="preserve"> host city center, built from venue and city coordinates. We are also weighing host-city population at the bid year (the UN population data), joined by city and award year, if the model needs it, but we will look at the data first before deciding. Construction cost is a natural candidate too: it is known at bid time as a budget, and an expensive venue that sits unused is a heavier burden. But venue-level cost records </w:t>
      </w:r>
      <w:proofErr w:type="gramStart"/>
      <w:r>
        <w:t>are scattered</w:t>
      </w:r>
      <w:proofErr w:type="gramEnd"/>
      <w:r>
        <w:t xml:space="preserve"> and mostly cover recent editions, so we will add it only if EDA turns up usable coverage; until then capacity partly stands in for it, since bigger builds cost more.</w:t>
      </w:r>
    </w:p>
    <w:p w14:paraId="02C92998" w14:textId="77777777" w:rsidR="008A37A4" w:rsidRDefault="001C7DB9">
      <w:pPr>
        <w:pStyle w:val="BodyText"/>
      </w:pPr>
      <w:r>
        <w:rPr>
          <w:b/>
          <w:bCs/>
        </w:rPr>
        <w:t>Preliminary analysis plan:</w:t>
      </w:r>
    </w:p>
    <w:p w14:paraId="7A4D59C6" w14:textId="77777777" w:rsidR="008A37A4" w:rsidRDefault="001C7DB9">
      <w:pPr>
        <w:numPr>
          <w:ilvl w:val="0"/>
          <w:numId w:val="2"/>
        </w:numPr>
      </w:pPr>
      <w:r>
        <w:rPr>
          <w:b/>
        </w:rPr>
        <w:t xml:space="preserve">Exploratory analysis: </w:t>
      </w:r>
      <w:r>
        <w:t xml:space="preserve">before modeling we will establish four things. First, how </w:t>
      </w:r>
      <w:proofErr w:type="gramStart"/>
      <w:r>
        <w:t>many</w:t>
      </w:r>
      <w:proofErr w:type="gramEnd"/>
      <w:r>
        <w:t xml:space="preserve"> white elephants the Olympic side adds (the World Cup side has three). Second, the distribution of each predictor. Third, how </w:t>
      </w:r>
      <w:proofErr w:type="gramStart"/>
      <w:r>
        <w:t>many</w:t>
      </w:r>
      <w:proofErr w:type="gramEnd"/>
      <w:r>
        <w:t xml:space="preserve"> venues have no income or corruption value after the country-level joins; these will mostly be venues from editions before the data begins or from host countries that no longer exist. Fourth, how </w:t>
      </w:r>
      <w:proofErr w:type="gramStart"/>
      <w:r>
        <w:t>many</w:t>
      </w:r>
      <w:proofErr w:type="gramEnd"/>
      <w:r>
        <w:t xml:space="preserve"> venues each region and era contributes, since the per-region and per-era checks need enough venues in each group to mean anything. The clustering also runs for the first time at this stage, to show us the natural venue groupings before any supervised model.</w:t>
      </w:r>
    </w:p>
    <w:p w14:paraId="0479EB8F" w14:textId="77777777" w:rsidR="008A37A4" w:rsidRDefault="001C7DB9">
      <w:pPr>
        <w:numPr>
          <w:ilvl w:val="0"/>
          <w:numId w:val="2"/>
        </w:numPr>
      </w:pPr>
      <w:r>
        <w:rPr>
          <w:b/>
          <w:bCs/>
        </w:rPr>
        <w:t>Baseline:</w:t>
      </w:r>
      <w:r>
        <w:t xml:space="preserve"> Logistic regression.</w:t>
      </w:r>
    </w:p>
    <w:p w14:paraId="544E8345" w14:textId="77777777" w:rsidR="008A37A4" w:rsidRDefault="001C7DB9">
      <w:pPr>
        <w:numPr>
          <w:ilvl w:val="0"/>
          <w:numId w:val="2"/>
        </w:numPr>
      </w:pPr>
      <w:r>
        <w:rPr>
          <w:b/>
          <w:bCs/>
        </w:rPr>
        <w:t>Also planned:</w:t>
      </w:r>
      <w:r>
        <w:t xml:space="preserve"> </w:t>
      </w:r>
      <w:proofErr w:type="gramStart"/>
      <w:r>
        <w:t>Random forest</w:t>
      </w:r>
      <w:proofErr w:type="gramEnd"/>
      <w:r>
        <w:t xml:space="preserve"> and gradient boosting as the stronger supervised models.</w:t>
      </w:r>
    </w:p>
    <w:p w14:paraId="630EE25A" w14:textId="77777777" w:rsidR="008A37A4" w:rsidRDefault="001C7DB9">
      <w:pPr>
        <w:numPr>
          <w:ilvl w:val="0"/>
          <w:numId w:val="2"/>
        </w:numPr>
      </w:pPr>
      <w:r>
        <w:rPr>
          <w:b/>
          <w:bCs/>
        </w:rPr>
        <w:t>Unsupervised:</w:t>
      </w:r>
      <w:r>
        <w:t xml:space="preserve"> k-means clustering, which </w:t>
      </w:r>
      <w:proofErr w:type="spellStart"/>
      <w:r>
        <w:t>sorts</w:t>
      </w:r>
      <w:proofErr w:type="spellEnd"/>
      <w:r>
        <w:t xml:space="preserve"> venues into groups by similarity on capacity, design purpose, income, corruption, and distance to center (all rescaled first so no feature dominates just by having bigger numbers). It never sees the outcome; it just finds natural groupings. The number of groups has to </w:t>
      </w:r>
      <w:proofErr w:type="gramStart"/>
      <w:r>
        <w:t>be chosen</w:t>
      </w:r>
      <w:proofErr w:type="gramEnd"/>
      <w:r>
        <w:t xml:space="preserve"> up front, so we will try </w:t>
      </w:r>
      <w:proofErr w:type="gramStart"/>
      <w:r>
        <w:t>several</w:t>
      </w:r>
      <w:proofErr w:type="gramEnd"/>
      <w:r>
        <w:t xml:space="preserve"> counts and keep the one where the groups separate most cleanly. As a check, we will also run hierarchical </w:t>
      </w:r>
      <w:r>
        <w:lastRenderedPageBreak/>
        <w:t xml:space="preserve">clustering, a second method that builds groups differently (by repeatedly merging the most similar venues): if two different methods find </w:t>
      </w:r>
      <w:proofErr w:type="gramStart"/>
      <w:r>
        <w:t>roughly the</w:t>
      </w:r>
      <w:proofErr w:type="gramEnd"/>
      <w:r>
        <w:t xml:space="preserve"> same groups, the groups are </w:t>
      </w:r>
      <w:proofErr w:type="gramStart"/>
      <w:r>
        <w:t>probably real</w:t>
      </w:r>
      <w:proofErr w:type="gramEnd"/>
      <w:r>
        <w:t xml:space="preserve"> and not an artifact of one algorithm. Two uses: do recognizable venue types emerge, and are the groups just regions and eras in disguise? The second is a deliberate check on the concern that our stadiums cluster geographically and historically.</w:t>
      </w:r>
    </w:p>
    <w:p w14:paraId="4D0E934D" w14:textId="77777777" w:rsidR="008A37A4" w:rsidRDefault="001C7DB9">
      <w:pPr>
        <w:numPr>
          <w:ilvl w:val="0"/>
          <w:numId w:val="2"/>
        </w:numPr>
      </w:pPr>
      <w:r>
        <w:rPr>
          <w:b/>
          <w:bCs/>
        </w:rPr>
        <w:t>Preprocessing:</w:t>
      </w:r>
      <w:r>
        <w:t xml:space="preserve"> Merge the two venue datasets to a common schema, join income and corruption by country and award year, and compute the venue-to-city-center distance from coordinates.</w:t>
      </w:r>
    </w:p>
    <w:p w14:paraId="4335CD6F" w14:textId="77777777" w:rsidR="008A37A4" w:rsidRDefault="001C7DB9">
      <w:pPr>
        <w:numPr>
          <w:ilvl w:val="0"/>
          <w:numId w:val="2"/>
        </w:numPr>
      </w:pPr>
      <w:r>
        <w:rPr>
          <w:b/>
          <w:bCs/>
        </w:rPr>
        <w:t>Train/test split:</w:t>
      </w:r>
      <w:r>
        <w:t xml:space="preserve"> By Games edition, all venues from the same tournament kept together, and additionally grouped by venue, so a stadium that hosted two tournaments never appears on both sides of the split.</w:t>
      </w:r>
    </w:p>
    <w:p w14:paraId="0216FAB6" w14:textId="77777777" w:rsidR="008A37A4" w:rsidRDefault="001C7DB9">
      <w:pPr>
        <w:numPr>
          <w:ilvl w:val="0"/>
          <w:numId w:val="2"/>
        </w:numPr>
      </w:pPr>
      <w:r>
        <w:rPr>
          <w:b/>
          <w:bCs/>
        </w:rPr>
        <w:t>Region and era:</w:t>
      </w:r>
      <w:r>
        <w:t xml:space="preserve"> Because hosts cluster by region and era, a model could just learn “European venues do fine.” </w:t>
      </w:r>
      <w:proofErr w:type="gramStart"/>
      <w:r>
        <w:t>So</w:t>
      </w:r>
      <w:proofErr w:type="gramEnd"/>
      <w:r>
        <w:t xml:space="preserve"> we will not stop at one overall score: we will also report how the model does on each region and each era separately (South American venues alone, pre-war tournaments alone, </w:t>
      </w:r>
      <w:proofErr w:type="gramStart"/>
      <w:r>
        <w:t>and so on</w:t>
      </w:r>
      <w:proofErr w:type="gramEnd"/>
      <w:r>
        <w:t>), which exposes a model that only works where the data is thickest. We will also include event type and era as inputs in their own right, so a pattern that really belongs to an era gets credited to that era instead of to one of the factors our hypothesis names. If those breakdowns show the model is leaning on geography, we will re-run it with a stricter split that holds out one region entirely, for example training on everything outside Europe and testing on Europe, so the model is judged on a part of the world it has never seen.</w:t>
      </w:r>
    </w:p>
    <w:p w14:paraId="469CD45C" w14:textId="77777777" w:rsidR="008A37A4" w:rsidRDefault="001C7DB9">
      <w:pPr>
        <w:numPr>
          <w:ilvl w:val="0"/>
          <w:numId w:val="2"/>
        </w:numPr>
      </w:pPr>
      <w:r>
        <w:rPr>
          <w:b/>
          <w:bCs/>
        </w:rPr>
        <w:t>Pitfalls:</w:t>
      </w:r>
      <w:r>
        <w:t xml:space="preserve"> White elephants are rare (three confirmed on the World Cup side; the Olympic-side rate comes out of EDA), which rules out judging models on plain accuracy: a model that just says “stays active” every time would be right </w:t>
      </w:r>
      <w:proofErr w:type="gramStart"/>
      <w:r>
        <w:t>almost always</w:t>
      </w:r>
      <w:proofErr w:type="gramEnd"/>
      <w:r>
        <w:t xml:space="preserve"> while catching zero white elephants. </w:t>
      </w:r>
      <w:proofErr w:type="gramStart"/>
      <w:r>
        <w:t>Instead</w:t>
      </w:r>
      <w:proofErr w:type="gramEnd"/>
      <w:r>
        <w:t xml:space="preserve"> we will use AUC (how reliably the model ranks a true white elephant as riskier than a survivor) and F1 (a score that balances catching real white elephants against </w:t>
      </w:r>
      <w:r>
        <w:lastRenderedPageBreak/>
        <w:t xml:space="preserve">raising false alarms), measured against a random baseline that guesses white elephants as often as they actually occur. Income data only goes back to 1960 and comparable corruption scores to 2012, so we will run two models: one without corruption on the full sample, one with it on recent venues. Defunct host countries (USSR, Yugoslavia) have no World Bank or CPI coverage; we will decide one missingness policy covering all three country-level </w:t>
      </w:r>
      <w:proofErr w:type="gramStart"/>
      <w:r>
        <w:t>joins</w:t>
      </w:r>
      <w:proofErr w:type="gramEnd"/>
      <w:r>
        <w:t xml:space="preserve"> rather than improvising per source.</w:t>
      </w:r>
    </w:p>
    <w:p w14:paraId="098BA8C4" w14:textId="77777777" w:rsidR="008A37A4" w:rsidRDefault="001C7DB9">
      <w:pPr>
        <w:numPr>
          <w:ilvl w:val="0"/>
          <w:numId w:val="2"/>
        </w:numPr>
      </w:pPr>
      <w:r>
        <w:rPr>
          <w:b/>
          <w:bCs/>
        </w:rPr>
        <w:t>Research question answered when:</w:t>
      </w:r>
      <w:r>
        <w:t xml:space="preserve"> the model beats 0.5 AUC and exceeds the F1 of a prevalence-based random classifier, </w:t>
      </w:r>
      <w:proofErr w:type="gramStart"/>
      <w:r>
        <w:t>tested</w:t>
      </w:r>
      <w:proofErr w:type="gramEnd"/>
      <w:r>
        <w:t xml:space="preserve"> on Games editions it </w:t>
      </w:r>
      <w:proofErr w:type="gramStart"/>
      <w:r>
        <w:t>was not trained</w:t>
      </w:r>
      <w:proofErr w:type="gramEnd"/>
      <w:r>
        <w:t xml:space="preserve"> on.</w:t>
      </w:r>
    </w:p>
    <w:p w14:paraId="4DD61B6D" w14:textId="77777777" w:rsidR="008A37A4" w:rsidRDefault="001C7DB9">
      <w:pPr>
        <w:numPr>
          <w:ilvl w:val="0"/>
          <w:numId w:val="2"/>
        </w:numPr>
      </w:pPr>
      <w:r>
        <w:rPr>
          <w:b/>
          <w:bCs/>
        </w:rPr>
        <w:t>Hypothesis supported when:</w:t>
      </w:r>
      <w:r>
        <w:t xml:space="preserve"> the factors the model leans on most are the ones the hypothesis names, with newly built status and design purpose near the top.</w:t>
      </w:r>
    </w:p>
    <w:p w14:paraId="29E71597" w14:textId="77777777" w:rsidR="008A37A4" w:rsidRDefault="001C7DB9">
      <w:pPr>
        <w:numPr>
          <w:ilvl w:val="0"/>
          <w:numId w:val="2"/>
        </w:numPr>
      </w:pPr>
      <w:r>
        <w:rPr>
          <w:b/>
          <w:bCs/>
        </w:rPr>
        <w:t>Contingency:</w:t>
      </w:r>
      <w:r>
        <w:t xml:space="preserve"> if the World Cup side’s three positives prove too sparse to contribute training signal, we train on the Olympic venues and hold the World Cup side out entirely as an external validation set, which would make the test more demanding, not less.</w:t>
      </w:r>
    </w:p>
    <w:p w14:paraId="21341866" w14:textId="77777777" w:rsidR="008A37A4" w:rsidRDefault="001C7DB9">
      <w:r>
        <w:rPr>
          <w:b/>
          <w:bCs/>
        </w:rPr>
        <w:t>Limitations and constraints</w:t>
      </w:r>
      <w:r>
        <w:t xml:space="preserve"> (we expect to find more during EDA):</w:t>
      </w:r>
    </w:p>
    <w:p w14:paraId="6698D306" w14:textId="77777777" w:rsidR="008A37A4" w:rsidRDefault="001C7DB9">
      <w:pPr>
        <w:numPr>
          <w:ilvl w:val="0"/>
          <w:numId w:val="6"/>
        </w:numPr>
      </w:pPr>
      <w:r>
        <w:t xml:space="preserve">Ownership (public vs. private) was the strongest predictor in Alm et al. and </w:t>
      </w:r>
      <w:proofErr w:type="gramStart"/>
      <w:r>
        <w:t>is not recorded</w:t>
      </w:r>
      <w:proofErr w:type="gramEnd"/>
      <w:r>
        <w:t xml:space="preserve"> in either of our sources, so this is a first-pass model by design. That also makes the first pass useful beyond its predictions: how well it performs without ownership tells our stakeholder whether it is worth paying for the deeper work of collecting ownership records before trusting any model in this space. One partial route already exists: Alm et al.'s own tables record public versus private ownership for the </w:t>
      </w:r>
      <w:proofErr w:type="gramStart"/>
      <w:r>
        <w:t>50</w:t>
      </w:r>
      <w:proofErr w:type="gramEnd"/>
      <w:r>
        <w:t xml:space="preserve"> stadiums they studied (1996 to 2010), so we may be able to transcribe that subset during EDA and </w:t>
      </w:r>
      <w:proofErr w:type="gramStart"/>
      <w:r>
        <w:t>test</w:t>
      </w:r>
      <w:proofErr w:type="gramEnd"/>
      <w:r>
        <w:t xml:space="preserve"> their </w:t>
      </w:r>
      <w:proofErr w:type="gramStart"/>
      <w:r>
        <w:t>strongest-predictor</w:t>
      </w:r>
      <w:proofErr w:type="gramEnd"/>
      <w:r>
        <w:t xml:space="preserve"> claim on the venues our data shares with theirs.</w:t>
      </w:r>
    </w:p>
    <w:p w14:paraId="0FE48272" w14:textId="77777777" w:rsidR="008A37A4" w:rsidRDefault="001C7DB9">
      <w:pPr>
        <w:numPr>
          <w:ilvl w:val="0"/>
          <w:numId w:val="4"/>
        </w:numPr>
      </w:pPr>
      <w:r>
        <w:t xml:space="preserve">Our target captures terminal failure (abandonment, closure, demolition without a successor). It cannot see venues that are economically underused but technically open. That blind spot sits </w:t>
      </w:r>
      <w:r>
        <w:lastRenderedPageBreak/>
        <w:t xml:space="preserve">mostly on the World Cup side: the IOC takes "a conservative approach" and counts venues "with sparse or irregular use" as not in use (IOC, 2025, p. 7), while our Wikipedia-based World Cup labels record whether a venue operates, not how much. Cape Town’s 2010 World Cup stadium is one of Alm et </w:t>
      </w:r>
      <w:proofErr w:type="gramStart"/>
      <w:r>
        <w:t>al.’s</w:t>
      </w:r>
      <w:proofErr w:type="gramEnd"/>
      <w:r>
        <w:t xml:space="preserve"> own opening examples (its tenant football club fills less than 10% of capacity), yet it codes as in use under our rules. A utilization-based target would need usage records that mostly do not exist across our 125-year window: even Alm et al., covering only main venues from 1996 to 2010, reported having to skip smaller venues because of data collection problems. This also means our two halves grade venues differently: an underused Olympic venue counts as a failure, but an underused World Cup venue does not. A model trained on both could learn that difference and mistake it for World Cup venues actually failing less. As a check, we will re-run the analysis counting underused Olympic venues (still open, not </w:t>
      </w:r>
      <w:proofErr w:type="gramStart"/>
      <w:r>
        <w:t>closed</w:t>
      </w:r>
      <w:proofErr w:type="gramEnd"/>
      <w:r>
        <w:t xml:space="preserve"> or demolished) as in use, so both sides grade the same way, and report whether the conclusions change.</w:t>
      </w:r>
    </w:p>
    <w:p w14:paraId="4C6D0D28" w14:textId="77777777" w:rsidR="008A37A4" w:rsidRDefault="001C7DB9">
      <w:pPr>
        <w:numPr>
          <w:ilvl w:val="0"/>
          <w:numId w:val="4"/>
        </w:numPr>
      </w:pPr>
      <w:r>
        <w:t xml:space="preserve">Recent tournaments are too young to judge: terminal failure takes decades to show (the Silverdome failed 23 years after hosting), so 2018 and 2022 venues have not had time to </w:t>
      </w:r>
      <w:proofErr w:type="gramStart"/>
      <w:r>
        <w:t>fail</w:t>
      </w:r>
      <w:proofErr w:type="gramEnd"/>
      <w:r>
        <w:t xml:space="preserve"> and recent editions will look artificially safe.</w:t>
      </w:r>
    </w:p>
    <w:p w14:paraId="0E9E84C9" w14:textId="77777777" w:rsidR="008A37A4" w:rsidRDefault="001C7DB9">
      <w:pPr>
        <w:numPr>
          <w:ilvl w:val="0"/>
          <w:numId w:val="4"/>
        </w:numPr>
      </w:pPr>
      <w:proofErr w:type="gramStart"/>
      <w:r>
        <w:t>Some</w:t>
      </w:r>
      <w:proofErr w:type="gramEnd"/>
      <w:r>
        <w:t xml:space="preserve"> demolitions are hard to classify. When a stadium is torn down and replaced on the same site, our rules code it as a normal replacement, not a failure. That is clearly right when a venue reaches the end of a long life, but </w:t>
      </w:r>
      <w:proofErr w:type="gramStart"/>
      <w:r>
        <w:t>a few</w:t>
      </w:r>
      <w:proofErr w:type="gramEnd"/>
      <w:r>
        <w:t xml:space="preserve"> came down young: Stadio delle Alpi </w:t>
      </w:r>
      <w:proofErr w:type="gramStart"/>
      <w:r>
        <w:t>was demolished</w:t>
      </w:r>
      <w:proofErr w:type="gramEnd"/>
      <w:r>
        <w:t xml:space="preserve"> at just 19 years old, after years of poor attendance, and a successor stadium on its site makes it look routine in our data. Our rule cannot tell "replaced because it aged out" from "replaced because it never worked." To make sure this is not skewing our results, we will re-run the analysis with these young-demolition venues labeled as failures and report whether the conclusions change.</w:t>
      </w:r>
    </w:p>
    <w:p w14:paraId="7258D0E8" w14:textId="77777777" w:rsidR="008A37A4" w:rsidRDefault="001C7DB9">
      <w:pPr>
        <w:numPr>
          <w:ilvl w:val="0"/>
          <w:numId w:val="4"/>
        </w:numPr>
      </w:pPr>
      <w:r>
        <w:t xml:space="preserve">We built the World Cup labels from Wikipedia articles and cross-checked them against a </w:t>
      </w:r>
      <w:r>
        <w:lastRenderedPageBreak/>
        <w:t xml:space="preserve">Wikidata pull; they are secondary-source labels, and the two sources disagreed on </w:t>
      </w:r>
      <w:proofErr w:type="gramStart"/>
      <w:r>
        <w:t>some</w:t>
      </w:r>
      <w:proofErr w:type="gramEnd"/>
      <w:r>
        <w:t xml:space="preserve"> opening years, which we resolved case by case.</w:t>
      </w:r>
    </w:p>
    <w:p w14:paraId="545355D5" w14:textId="77777777" w:rsidR="008A37A4" w:rsidRDefault="001C7DB9">
      <w:r>
        <w:rPr>
          <w:b/>
          <w:bCs/>
        </w:rPr>
        <w:t>Timeline (six weeks remain):</w:t>
      </w:r>
      <w:r>
        <w:t xml:space="preserve"> week of Jul 21: country-level joins, EDA with a data dictionary and first exploratory clustering, and the EDA report (due Jul 28); week of Jul 28: cleaning, preprocessing, and feature engineering; weeks of Aug 4 and 11: baseline logistic regression, then random forest and gradient boosting with the grouped split, then cross-validation and tuning; remaining weeks: sensitivity checks, interpretation, and the final report and presentation. The data collection that made the schedule risky (240 stadium labels) </w:t>
      </w:r>
      <w:proofErr w:type="gramStart"/>
      <w:r>
        <w:t>is already done</w:t>
      </w:r>
      <w:proofErr w:type="gramEnd"/>
      <w:r>
        <w:t>.</w:t>
      </w:r>
      <w:bookmarkEnd w:id="3"/>
    </w:p>
    <w:p w14:paraId="1C10A878" w14:textId="77777777" w:rsidR="008A37A4" w:rsidRDefault="001C7DB9" w:rsidP="00A12EC0">
      <w:pPr>
        <w:pStyle w:val="Heading1"/>
      </w:pPr>
      <w:r>
        <w:t>Data Dictionary</w:t>
      </w:r>
    </w:p>
    <w:p w14:paraId="461BC023" w14:textId="77777777" w:rsidR="008A37A4" w:rsidRDefault="001C7DB9">
      <w:r>
        <w:t>The key variables of the merged table we are building, using the column names from the working World Cup table in the repo (data/processed/). This will keep evolving; the EDA report will carry the updated version. The target is white_elephant, listed first.</w:t>
      </w:r>
    </w:p>
    <w:tbl>
      <w:tblPr>
        <w:tblW w:w="9972" w:type="dxa"/>
        <w:tblLayout w:type="fixed"/>
        <w:tblLook w:val="04A0" w:firstRow="1" w:lastRow="0" w:firstColumn="1" w:lastColumn="0" w:noHBand="0" w:noVBand="1"/>
      </w:tblPr>
      <w:tblGrid>
        <w:gridCol w:w="2493"/>
        <w:gridCol w:w="2493"/>
        <w:gridCol w:w="2493"/>
        <w:gridCol w:w="2493"/>
      </w:tblGrid>
      <w:tr w:rsidR="008A37A4" w14:paraId="58074859" w14:textId="77777777">
        <w:tc>
          <w:tcPr>
            <w:tcW w:w="2493" w:type="dxa"/>
            <w:tcBorders>
              <w:top w:val="single" w:sz="4" w:space="0" w:color="000000"/>
              <w:left w:val="single" w:sz="4" w:space="0" w:color="000000"/>
              <w:bottom w:val="single" w:sz="4" w:space="0" w:color="000000"/>
              <w:right w:val="single" w:sz="4" w:space="0" w:color="000000"/>
            </w:tcBorders>
          </w:tcPr>
          <w:p w14:paraId="31A6CF90" w14:textId="77777777" w:rsidR="008A37A4" w:rsidRDefault="001C7DB9">
            <w:pPr>
              <w:spacing w:before="40" w:after="40" w:line="240" w:lineRule="auto"/>
            </w:pPr>
            <w:r>
              <w:rPr>
                <w:b/>
              </w:rPr>
              <w:t>Variable</w:t>
            </w:r>
          </w:p>
        </w:tc>
        <w:tc>
          <w:tcPr>
            <w:tcW w:w="2493" w:type="dxa"/>
            <w:tcBorders>
              <w:top w:val="single" w:sz="4" w:space="0" w:color="000000"/>
              <w:left w:val="single" w:sz="4" w:space="0" w:color="000000"/>
              <w:bottom w:val="single" w:sz="4" w:space="0" w:color="000000"/>
              <w:right w:val="single" w:sz="4" w:space="0" w:color="000000"/>
            </w:tcBorders>
          </w:tcPr>
          <w:p w14:paraId="6775A0C6" w14:textId="77777777" w:rsidR="008A37A4" w:rsidRDefault="001C7DB9">
            <w:pPr>
              <w:spacing w:before="40" w:after="40" w:line="240" w:lineRule="auto"/>
            </w:pPr>
            <w:r>
              <w:rPr>
                <w:b/>
              </w:rPr>
              <w:t>Description</w:t>
            </w:r>
          </w:p>
        </w:tc>
        <w:tc>
          <w:tcPr>
            <w:tcW w:w="2493" w:type="dxa"/>
            <w:tcBorders>
              <w:top w:val="single" w:sz="4" w:space="0" w:color="000000"/>
              <w:left w:val="single" w:sz="4" w:space="0" w:color="000000"/>
              <w:bottom w:val="single" w:sz="4" w:space="0" w:color="000000"/>
              <w:right w:val="single" w:sz="4" w:space="0" w:color="000000"/>
            </w:tcBorders>
          </w:tcPr>
          <w:p w14:paraId="26A5C77D" w14:textId="77777777" w:rsidR="008A37A4" w:rsidRDefault="001C7DB9">
            <w:pPr>
              <w:spacing w:before="40" w:after="40" w:line="240" w:lineRule="auto"/>
            </w:pPr>
            <w:r>
              <w:rPr>
                <w:b/>
              </w:rPr>
              <w:t>Type</w:t>
            </w:r>
          </w:p>
        </w:tc>
        <w:tc>
          <w:tcPr>
            <w:tcW w:w="2493" w:type="dxa"/>
            <w:tcBorders>
              <w:top w:val="single" w:sz="4" w:space="0" w:color="000000"/>
              <w:left w:val="single" w:sz="4" w:space="0" w:color="000000"/>
              <w:bottom w:val="single" w:sz="4" w:space="0" w:color="000000"/>
              <w:right w:val="single" w:sz="4" w:space="0" w:color="000000"/>
            </w:tcBorders>
          </w:tcPr>
          <w:p w14:paraId="40E2CE0B" w14:textId="77777777" w:rsidR="008A37A4" w:rsidRDefault="001C7DB9">
            <w:pPr>
              <w:spacing w:before="40" w:after="40" w:line="240" w:lineRule="auto"/>
            </w:pPr>
            <w:r>
              <w:rPr>
                <w:b/>
              </w:rPr>
              <w:t>Role in analysis</w:t>
            </w:r>
          </w:p>
        </w:tc>
      </w:tr>
      <w:tr w:rsidR="008A37A4" w14:paraId="04BC88F7" w14:textId="77777777">
        <w:tc>
          <w:tcPr>
            <w:tcW w:w="2493" w:type="dxa"/>
            <w:tcBorders>
              <w:top w:val="single" w:sz="4" w:space="0" w:color="000000"/>
              <w:left w:val="single" w:sz="4" w:space="0" w:color="000000"/>
              <w:bottom w:val="single" w:sz="4" w:space="0" w:color="000000"/>
              <w:right w:val="single" w:sz="4" w:space="0" w:color="000000"/>
            </w:tcBorders>
          </w:tcPr>
          <w:p w14:paraId="2A6F5BB2" w14:textId="77777777" w:rsidR="008A37A4" w:rsidRDefault="001C7DB9">
            <w:pPr>
              <w:spacing w:before="40" w:after="40" w:line="240" w:lineRule="auto"/>
            </w:pPr>
            <w:r>
              <w:t>white_elephant</w:t>
            </w:r>
          </w:p>
        </w:tc>
        <w:tc>
          <w:tcPr>
            <w:tcW w:w="2493" w:type="dxa"/>
            <w:tcBorders>
              <w:top w:val="single" w:sz="4" w:space="0" w:color="000000"/>
              <w:left w:val="single" w:sz="4" w:space="0" w:color="000000"/>
              <w:bottom w:val="single" w:sz="4" w:space="0" w:color="000000"/>
              <w:right w:val="single" w:sz="4" w:space="0" w:color="000000"/>
            </w:tcBorders>
          </w:tcPr>
          <w:p w14:paraId="0D1D7B95" w14:textId="77777777" w:rsidR="008A37A4" w:rsidRDefault="001C7DB9">
            <w:pPr>
              <w:spacing w:before="40" w:after="40" w:line="240" w:lineRule="auto"/>
            </w:pPr>
            <w:r>
              <w:t xml:space="preserve">Whether the venue ended as a white elephant. Derived by one shared rule from current_status and the recorded reason: abandonment and lack-of-use failures count; war losses, end-of-life replacement, and urban redevelopment do not; temporary venues </w:t>
            </w:r>
            <w:proofErr w:type="gramStart"/>
            <w:r>
              <w:t>are excluded</w:t>
            </w:r>
            <w:proofErr w:type="gramEnd"/>
            <w:r>
              <w:t>.</w:t>
            </w:r>
          </w:p>
        </w:tc>
        <w:tc>
          <w:tcPr>
            <w:tcW w:w="2493" w:type="dxa"/>
            <w:tcBorders>
              <w:top w:val="single" w:sz="4" w:space="0" w:color="000000"/>
              <w:left w:val="single" w:sz="4" w:space="0" w:color="000000"/>
              <w:bottom w:val="single" w:sz="4" w:space="0" w:color="000000"/>
              <w:right w:val="single" w:sz="4" w:space="0" w:color="000000"/>
            </w:tcBorders>
          </w:tcPr>
          <w:p w14:paraId="3F1AB448" w14:textId="77777777" w:rsidR="008A37A4" w:rsidRDefault="001C7DB9">
            <w:pPr>
              <w:spacing w:before="40" w:after="40" w:line="240" w:lineRule="auto"/>
            </w:pPr>
            <w:r>
              <w:t>binary</w:t>
            </w:r>
          </w:p>
        </w:tc>
        <w:tc>
          <w:tcPr>
            <w:tcW w:w="2493" w:type="dxa"/>
            <w:tcBorders>
              <w:top w:val="single" w:sz="4" w:space="0" w:color="000000"/>
              <w:left w:val="single" w:sz="4" w:space="0" w:color="000000"/>
              <w:bottom w:val="single" w:sz="4" w:space="0" w:color="000000"/>
              <w:right w:val="single" w:sz="4" w:space="0" w:color="000000"/>
            </w:tcBorders>
          </w:tcPr>
          <w:p w14:paraId="7E830DFC" w14:textId="77777777" w:rsidR="008A37A4" w:rsidRDefault="001C7DB9">
            <w:pPr>
              <w:spacing w:before="40" w:after="40" w:line="240" w:lineRule="auto"/>
            </w:pPr>
            <w:r>
              <w:rPr>
                <w:b/>
              </w:rPr>
              <w:t>TARGET (what we predict)</w:t>
            </w:r>
          </w:p>
        </w:tc>
      </w:tr>
      <w:tr w:rsidR="008A37A4" w14:paraId="5C56BB3E" w14:textId="77777777">
        <w:tc>
          <w:tcPr>
            <w:tcW w:w="2493" w:type="dxa"/>
            <w:tcBorders>
              <w:top w:val="single" w:sz="4" w:space="0" w:color="000000"/>
              <w:left w:val="single" w:sz="4" w:space="0" w:color="000000"/>
              <w:bottom w:val="single" w:sz="4" w:space="0" w:color="000000"/>
              <w:right w:val="single" w:sz="4" w:space="0" w:color="000000"/>
            </w:tcBorders>
          </w:tcPr>
          <w:p w14:paraId="4FDF2E7E" w14:textId="77777777" w:rsidR="008A37A4" w:rsidRDefault="001C7DB9">
            <w:pPr>
              <w:spacing w:before="40" w:after="40" w:line="240" w:lineRule="auto"/>
            </w:pPr>
            <w:r>
              <w:t>newly_built</w:t>
            </w:r>
          </w:p>
        </w:tc>
        <w:tc>
          <w:tcPr>
            <w:tcW w:w="2493" w:type="dxa"/>
            <w:tcBorders>
              <w:top w:val="single" w:sz="4" w:space="0" w:color="000000"/>
              <w:left w:val="single" w:sz="4" w:space="0" w:color="000000"/>
              <w:bottom w:val="single" w:sz="4" w:space="0" w:color="000000"/>
              <w:right w:val="single" w:sz="4" w:space="0" w:color="000000"/>
            </w:tcBorders>
          </w:tcPr>
          <w:p w14:paraId="40076B8B" w14:textId="77777777" w:rsidR="008A37A4" w:rsidRDefault="001C7DB9">
            <w:pPr>
              <w:spacing w:before="40" w:after="40" w:line="240" w:lineRule="auto"/>
            </w:pPr>
            <w:r>
              <w:t xml:space="preserve">Whether the venue existed when the host </w:t>
            </w:r>
            <w:proofErr w:type="gramStart"/>
            <w:r>
              <w:t>was selected (New or Existing)</w:t>
            </w:r>
            <w:proofErr w:type="gramEnd"/>
            <w:r>
              <w:t>. Fully demolished and rebuilt counts as New; heavy renovation does not.</w:t>
            </w:r>
          </w:p>
        </w:tc>
        <w:tc>
          <w:tcPr>
            <w:tcW w:w="2493" w:type="dxa"/>
            <w:tcBorders>
              <w:top w:val="single" w:sz="4" w:space="0" w:color="000000"/>
              <w:left w:val="single" w:sz="4" w:space="0" w:color="000000"/>
              <w:bottom w:val="single" w:sz="4" w:space="0" w:color="000000"/>
              <w:right w:val="single" w:sz="4" w:space="0" w:color="000000"/>
            </w:tcBorders>
          </w:tcPr>
          <w:p w14:paraId="77B5902E" w14:textId="77777777" w:rsidR="008A37A4" w:rsidRDefault="001C7DB9">
            <w:pPr>
              <w:spacing w:before="40" w:after="40" w:line="240" w:lineRule="auto"/>
            </w:pPr>
            <w:r>
              <w:t>categorical (2 values)</w:t>
            </w:r>
          </w:p>
        </w:tc>
        <w:tc>
          <w:tcPr>
            <w:tcW w:w="2493" w:type="dxa"/>
            <w:tcBorders>
              <w:top w:val="single" w:sz="4" w:space="0" w:color="000000"/>
              <w:left w:val="single" w:sz="4" w:space="0" w:color="000000"/>
              <w:bottom w:val="single" w:sz="4" w:space="0" w:color="000000"/>
              <w:right w:val="single" w:sz="4" w:space="0" w:color="000000"/>
            </w:tcBorders>
          </w:tcPr>
          <w:p w14:paraId="0B692901" w14:textId="77777777" w:rsidR="008A37A4" w:rsidRDefault="001C7DB9">
            <w:pPr>
              <w:spacing w:before="40" w:after="40" w:line="240" w:lineRule="auto"/>
            </w:pPr>
            <w:r>
              <w:t>Predictor (named in the hypothesis)</w:t>
            </w:r>
          </w:p>
        </w:tc>
      </w:tr>
      <w:tr w:rsidR="008A37A4" w14:paraId="47C5FA8A" w14:textId="77777777">
        <w:tc>
          <w:tcPr>
            <w:tcW w:w="2493" w:type="dxa"/>
            <w:tcBorders>
              <w:top w:val="single" w:sz="4" w:space="0" w:color="000000"/>
              <w:left w:val="single" w:sz="4" w:space="0" w:color="000000"/>
              <w:bottom w:val="single" w:sz="4" w:space="0" w:color="000000"/>
              <w:right w:val="single" w:sz="4" w:space="0" w:color="000000"/>
            </w:tcBorders>
          </w:tcPr>
          <w:p w14:paraId="065A15FD" w14:textId="77777777" w:rsidR="008A37A4" w:rsidRDefault="001C7DB9">
            <w:pPr>
              <w:spacing w:before="40" w:after="40" w:line="240" w:lineRule="auto"/>
            </w:pPr>
            <w:r>
              <w:lastRenderedPageBreak/>
              <w:t>design_purpose</w:t>
            </w:r>
          </w:p>
        </w:tc>
        <w:tc>
          <w:tcPr>
            <w:tcW w:w="2493" w:type="dxa"/>
            <w:tcBorders>
              <w:top w:val="single" w:sz="4" w:space="0" w:color="000000"/>
              <w:left w:val="single" w:sz="4" w:space="0" w:color="000000"/>
              <w:bottom w:val="single" w:sz="4" w:space="0" w:color="000000"/>
              <w:right w:val="single" w:sz="4" w:space="0" w:color="000000"/>
            </w:tcBorders>
          </w:tcPr>
          <w:p w14:paraId="490A43EE" w14:textId="77777777" w:rsidR="008A37A4" w:rsidRDefault="001C7DB9">
            <w:pPr>
              <w:spacing w:before="40" w:after="40" w:line="240" w:lineRule="auto"/>
            </w:pPr>
            <w:r>
              <w:t xml:space="preserve">What the venue </w:t>
            </w:r>
            <w:proofErr w:type="gramStart"/>
            <w:r>
              <w:t>was designed</w:t>
            </w:r>
            <w:proofErr w:type="gramEnd"/>
            <w:r>
              <w:t xml:space="preserve"> for: Single-purpose or </w:t>
            </w:r>
            <w:proofErr w:type="gramStart"/>
            <w:r>
              <w:t>Multi-purpose</w:t>
            </w:r>
            <w:proofErr w:type="gramEnd"/>
            <w:r>
              <w:t>.</w:t>
            </w:r>
          </w:p>
        </w:tc>
        <w:tc>
          <w:tcPr>
            <w:tcW w:w="2493" w:type="dxa"/>
            <w:tcBorders>
              <w:top w:val="single" w:sz="4" w:space="0" w:color="000000"/>
              <w:left w:val="single" w:sz="4" w:space="0" w:color="000000"/>
              <w:bottom w:val="single" w:sz="4" w:space="0" w:color="000000"/>
              <w:right w:val="single" w:sz="4" w:space="0" w:color="000000"/>
            </w:tcBorders>
          </w:tcPr>
          <w:p w14:paraId="29DCE411" w14:textId="77777777" w:rsidR="008A37A4" w:rsidRDefault="001C7DB9">
            <w:pPr>
              <w:spacing w:before="40" w:after="40" w:line="240" w:lineRule="auto"/>
            </w:pPr>
            <w:r>
              <w:t>categorical (2 values)</w:t>
            </w:r>
          </w:p>
        </w:tc>
        <w:tc>
          <w:tcPr>
            <w:tcW w:w="2493" w:type="dxa"/>
            <w:tcBorders>
              <w:top w:val="single" w:sz="4" w:space="0" w:color="000000"/>
              <w:left w:val="single" w:sz="4" w:space="0" w:color="000000"/>
              <w:bottom w:val="single" w:sz="4" w:space="0" w:color="000000"/>
              <w:right w:val="single" w:sz="4" w:space="0" w:color="000000"/>
            </w:tcBorders>
          </w:tcPr>
          <w:p w14:paraId="1A263B84" w14:textId="77777777" w:rsidR="008A37A4" w:rsidRDefault="001C7DB9">
            <w:pPr>
              <w:spacing w:before="40" w:after="40" w:line="240" w:lineRule="auto"/>
            </w:pPr>
            <w:r>
              <w:t>Predictor (named in the hypothesis)</w:t>
            </w:r>
          </w:p>
        </w:tc>
      </w:tr>
      <w:tr w:rsidR="008A37A4" w14:paraId="3A67D599" w14:textId="77777777">
        <w:tc>
          <w:tcPr>
            <w:tcW w:w="2493" w:type="dxa"/>
            <w:tcBorders>
              <w:top w:val="single" w:sz="4" w:space="0" w:color="000000"/>
              <w:left w:val="single" w:sz="4" w:space="0" w:color="000000"/>
              <w:bottom w:val="single" w:sz="4" w:space="0" w:color="000000"/>
              <w:right w:val="single" w:sz="4" w:space="0" w:color="000000"/>
            </w:tcBorders>
          </w:tcPr>
          <w:p w14:paraId="112953D5" w14:textId="77777777" w:rsidR="008A37A4" w:rsidRDefault="001C7DB9">
            <w:pPr>
              <w:spacing w:before="40" w:after="40" w:line="240" w:lineRule="auto"/>
            </w:pPr>
            <w:r>
              <w:t>dist_center_km</w:t>
            </w:r>
          </w:p>
        </w:tc>
        <w:tc>
          <w:tcPr>
            <w:tcW w:w="2493" w:type="dxa"/>
            <w:tcBorders>
              <w:top w:val="single" w:sz="4" w:space="0" w:color="000000"/>
              <w:left w:val="single" w:sz="4" w:space="0" w:color="000000"/>
              <w:bottom w:val="single" w:sz="4" w:space="0" w:color="000000"/>
              <w:right w:val="single" w:sz="4" w:space="0" w:color="000000"/>
            </w:tcBorders>
          </w:tcPr>
          <w:p w14:paraId="7981C1BB" w14:textId="77777777" w:rsidR="008A37A4" w:rsidRDefault="001C7DB9">
            <w:pPr>
              <w:spacing w:before="40" w:after="40" w:line="240" w:lineRule="auto"/>
            </w:pPr>
            <w:r>
              <w:t xml:space="preserve">Distance from the venue to the host city center, to </w:t>
            </w:r>
            <w:proofErr w:type="gramStart"/>
            <w:r>
              <w:t>be computed</w:t>
            </w:r>
            <w:proofErr w:type="gramEnd"/>
            <w:r>
              <w:t xml:space="preserve"> from venue and city coordinates (coordinates already pulled for 239 of 240 World Cup stadiums).</w:t>
            </w:r>
          </w:p>
        </w:tc>
        <w:tc>
          <w:tcPr>
            <w:tcW w:w="2493" w:type="dxa"/>
            <w:tcBorders>
              <w:top w:val="single" w:sz="4" w:space="0" w:color="000000"/>
              <w:left w:val="single" w:sz="4" w:space="0" w:color="000000"/>
              <w:bottom w:val="single" w:sz="4" w:space="0" w:color="000000"/>
              <w:right w:val="single" w:sz="4" w:space="0" w:color="000000"/>
            </w:tcBorders>
          </w:tcPr>
          <w:p w14:paraId="01F21B59" w14:textId="77777777" w:rsidR="008A37A4" w:rsidRDefault="001C7DB9">
            <w:pPr>
              <w:spacing w:before="40" w:after="40" w:line="240" w:lineRule="auto"/>
            </w:pPr>
            <w:r>
              <w:t>numeric</w:t>
            </w:r>
          </w:p>
        </w:tc>
        <w:tc>
          <w:tcPr>
            <w:tcW w:w="2493" w:type="dxa"/>
            <w:tcBorders>
              <w:top w:val="single" w:sz="4" w:space="0" w:color="000000"/>
              <w:left w:val="single" w:sz="4" w:space="0" w:color="000000"/>
              <w:bottom w:val="single" w:sz="4" w:space="0" w:color="000000"/>
              <w:right w:val="single" w:sz="4" w:space="0" w:color="000000"/>
            </w:tcBorders>
          </w:tcPr>
          <w:p w14:paraId="400FD4E9" w14:textId="77777777" w:rsidR="008A37A4" w:rsidRDefault="001C7DB9">
            <w:pPr>
              <w:spacing w:before="40" w:after="40" w:line="240" w:lineRule="auto"/>
            </w:pPr>
            <w:r>
              <w:t>Predictor (named in the hypothesis)</w:t>
            </w:r>
          </w:p>
        </w:tc>
      </w:tr>
      <w:tr w:rsidR="008A37A4" w14:paraId="57BDA2B6" w14:textId="77777777">
        <w:tc>
          <w:tcPr>
            <w:tcW w:w="2493" w:type="dxa"/>
            <w:tcBorders>
              <w:top w:val="single" w:sz="4" w:space="0" w:color="000000"/>
              <w:left w:val="single" w:sz="4" w:space="0" w:color="000000"/>
              <w:bottom w:val="single" w:sz="4" w:space="0" w:color="000000"/>
              <w:right w:val="single" w:sz="4" w:space="0" w:color="000000"/>
            </w:tcBorders>
          </w:tcPr>
          <w:p w14:paraId="3C7A2F17" w14:textId="77777777" w:rsidR="008A37A4" w:rsidRDefault="001C7DB9">
            <w:pPr>
              <w:spacing w:before="40" w:after="40" w:line="240" w:lineRule="auto"/>
            </w:pPr>
            <w:r>
              <w:t>stadium_capacity</w:t>
            </w:r>
          </w:p>
        </w:tc>
        <w:tc>
          <w:tcPr>
            <w:tcW w:w="2493" w:type="dxa"/>
            <w:tcBorders>
              <w:top w:val="single" w:sz="4" w:space="0" w:color="000000"/>
              <w:left w:val="single" w:sz="4" w:space="0" w:color="000000"/>
              <w:bottom w:val="single" w:sz="4" w:space="0" w:color="000000"/>
              <w:right w:val="single" w:sz="4" w:space="0" w:color="000000"/>
            </w:tcBorders>
          </w:tcPr>
          <w:p w14:paraId="366D5D66" w14:textId="77777777" w:rsidR="008A37A4" w:rsidRDefault="001C7DB9">
            <w:pPr>
              <w:spacing w:before="40" w:after="40" w:line="240" w:lineRule="auto"/>
            </w:pPr>
            <w:r>
              <w:t xml:space="preserve">Seating capacity of the venue. Recorded on the World Cup side; the Olympic-side source is still to </w:t>
            </w:r>
            <w:proofErr w:type="gramStart"/>
            <w:r>
              <w:t>be settled</w:t>
            </w:r>
            <w:proofErr w:type="gramEnd"/>
            <w:r>
              <w:t xml:space="preserve"> (the IOC tables do not record capacity).</w:t>
            </w:r>
          </w:p>
        </w:tc>
        <w:tc>
          <w:tcPr>
            <w:tcW w:w="2493" w:type="dxa"/>
            <w:tcBorders>
              <w:top w:val="single" w:sz="4" w:space="0" w:color="000000"/>
              <w:left w:val="single" w:sz="4" w:space="0" w:color="000000"/>
              <w:bottom w:val="single" w:sz="4" w:space="0" w:color="000000"/>
              <w:right w:val="single" w:sz="4" w:space="0" w:color="000000"/>
            </w:tcBorders>
          </w:tcPr>
          <w:p w14:paraId="1CA4D5F1" w14:textId="77777777" w:rsidR="008A37A4" w:rsidRDefault="001C7DB9">
            <w:pPr>
              <w:spacing w:before="40" w:after="40" w:line="240" w:lineRule="auto"/>
            </w:pPr>
            <w:r>
              <w:t>numeric</w:t>
            </w:r>
          </w:p>
        </w:tc>
        <w:tc>
          <w:tcPr>
            <w:tcW w:w="2493" w:type="dxa"/>
            <w:tcBorders>
              <w:top w:val="single" w:sz="4" w:space="0" w:color="000000"/>
              <w:left w:val="single" w:sz="4" w:space="0" w:color="000000"/>
              <w:bottom w:val="single" w:sz="4" w:space="0" w:color="000000"/>
              <w:right w:val="single" w:sz="4" w:space="0" w:color="000000"/>
            </w:tcBorders>
          </w:tcPr>
          <w:p w14:paraId="7AB047C1" w14:textId="77777777" w:rsidR="008A37A4" w:rsidRDefault="001C7DB9">
            <w:pPr>
              <w:spacing w:before="40" w:after="40" w:line="240" w:lineRule="auto"/>
            </w:pPr>
            <w:r>
              <w:t>Predictor</w:t>
            </w:r>
          </w:p>
        </w:tc>
      </w:tr>
      <w:tr w:rsidR="008A37A4" w14:paraId="4ED247B9" w14:textId="77777777">
        <w:tc>
          <w:tcPr>
            <w:tcW w:w="2493" w:type="dxa"/>
            <w:tcBorders>
              <w:top w:val="single" w:sz="4" w:space="0" w:color="000000"/>
              <w:left w:val="single" w:sz="4" w:space="0" w:color="000000"/>
              <w:bottom w:val="single" w:sz="4" w:space="0" w:color="000000"/>
              <w:right w:val="single" w:sz="4" w:space="0" w:color="000000"/>
            </w:tcBorders>
          </w:tcPr>
          <w:p w14:paraId="2117F3AA" w14:textId="77777777" w:rsidR="008A37A4" w:rsidRDefault="001C7DB9">
            <w:pPr>
              <w:spacing w:before="40" w:after="40" w:line="240" w:lineRule="auto"/>
            </w:pPr>
            <w:r>
              <w:t>gdp_per_capita</w:t>
            </w:r>
          </w:p>
        </w:tc>
        <w:tc>
          <w:tcPr>
            <w:tcW w:w="2493" w:type="dxa"/>
            <w:tcBorders>
              <w:top w:val="single" w:sz="4" w:space="0" w:color="000000"/>
              <w:left w:val="single" w:sz="4" w:space="0" w:color="000000"/>
              <w:bottom w:val="single" w:sz="4" w:space="0" w:color="000000"/>
              <w:right w:val="single" w:sz="4" w:space="0" w:color="000000"/>
            </w:tcBorders>
          </w:tcPr>
          <w:p w14:paraId="2EEB888A" w14:textId="77777777" w:rsidR="008A37A4" w:rsidRDefault="001C7DB9">
            <w:pPr>
              <w:spacing w:before="40" w:after="40" w:line="240" w:lineRule="auto"/>
            </w:pPr>
            <w:r>
              <w:t>Host-country GDP per capita in the award year (World Bank, current US dollars).</w:t>
            </w:r>
          </w:p>
        </w:tc>
        <w:tc>
          <w:tcPr>
            <w:tcW w:w="2493" w:type="dxa"/>
            <w:tcBorders>
              <w:top w:val="single" w:sz="4" w:space="0" w:color="000000"/>
              <w:left w:val="single" w:sz="4" w:space="0" w:color="000000"/>
              <w:bottom w:val="single" w:sz="4" w:space="0" w:color="000000"/>
              <w:right w:val="single" w:sz="4" w:space="0" w:color="000000"/>
            </w:tcBorders>
          </w:tcPr>
          <w:p w14:paraId="1CE1F06D" w14:textId="77777777" w:rsidR="008A37A4" w:rsidRDefault="001C7DB9">
            <w:pPr>
              <w:spacing w:before="40" w:after="40" w:line="240" w:lineRule="auto"/>
            </w:pPr>
            <w:r>
              <w:t>numeric</w:t>
            </w:r>
          </w:p>
        </w:tc>
        <w:tc>
          <w:tcPr>
            <w:tcW w:w="2493" w:type="dxa"/>
            <w:tcBorders>
              <w:top w:val="single" w:sz="4" w:space="0" w:color="000000"/>
              <w:left w:val="single" w:sz="4" w:space="0" w:color="000000"/>
              <w:bottom w:val="single" w:sz="4" w:space="0" w:color="000000"/>
              <w:right w:val="single" w:sz="4" w:space="0" w:color="000000"/>
            </w:tcBorders>
          </w:tcPr>
          <w:p w14:paraId="22D1345B" w14:textId="77777777" w:rsidR="008A37A4" w:rsidRDefault="001C7DB9">
            <w:pPr>
              <w:spacing w:before="40" w:after="40" w:line="240" w:lineRule="auto"/>
            </w:pPr>
            <w:r>
              <w:t>Predictor</w:t>
            </w:r>
          </w:p>
        </w:tc>
      </w:tr>
      <w:tr w:rsidR="008A37A4" w14:paraId="7FAB2B42" w14:textId="77777777">
        <w:tc>
          <w:tcPr>
            <w:tcW w:w="2493" w:type="dxa"/>
            <w:tcBorders>
              <w:top w:val="single" w:sz="4" w:space="0" w:color="000000"/>
              <w:left w:val="single" w:sz="4" w:space="0" w:color="000000"/>
              <w:bottom w:val="single" w:sz="4" w:space="0" w:color="000000"/>
              <w:right w:val="single" w:sz="4" w:space="0" w:color="000000"/>
            </w:tcBorders>
          </w:tcPr>
          <w:p w14:paraId="741654AD" w14:textId="77777777" w:rsidR="008A37A4" w:rsidRDefault="001C7DB9">
            <w:pPr>
              <w:spacing w:before="40" w:after="40" w:line="240" w:lineRule="auto"/>
            </w:pPr>
            <w:r>
              <w:t>cpi_score</w:t>
            </w:r>
          </w:p>
        </w:tc>
        <w:tc>
          <w:tcPr>
            <w:tcW w:w="2493" w:type="dxa"/>
            <w:tcBorders>
              <w:top w:val="single" w:sz="4" w:space="0" w:color="000000"/>
              <w:left w:val="single" w:sz="4" w:space="0" w:color="000000"/>
              <w:bottom w:val="single" w:sz="4" w:space="0" w:color="000000"/>
              <w:right w:val="single" w:sz="4" w:space="0" w:color="000000"/>
            </w:tcBorders>
          </w:tcPr>
          <w:p w14:paraId="17BB7433" w14:textId="77777777" w:rsidR="008A37A4" w:rsidRDefault="001C7DB9">
            <w:pPr>
              <w:spacing w:before="40" w:after="40" w:line="240" w:lineRule="auto"/>
            </w:pPr>
            <w:r>
              <w:t>Host-country Corruption Perceptions Index score in the award year (Transparency International; used from 2012 onward).</w:t>
            </w:r>
          </w:p>
        </w:tc>
        <w:tc>
          <w:tcPr>
            <w:tcW w:w="2493" w:type="dxa"/>
            <w:tcBorders>
              <w:top w:val="single" w:sz="4" w:space="0" w:color="000000"/>
              <w:left w:val="single" w:sz="4" w:space="0" w:color="000000"/>
              <w:bottom w:val="single" w:sz="4" w:space="0" w:color="000000"/>
              <w:right w:val="single" w:sz="4" w:space="0" w:color="000000"/>
            </w:tcBorders>
          </w:tcPr>
          <w:p w14:paraId="0D658C0B" w14:textId="77777777" w:rsidR="008A37A4" w:rsidRDefault="001C7DB9">
            <w:pPr>
              <w:spacing w:before="40" w:after="40" w:line="240" w:lineRule="auto"/>
            </w:pPr>
            <w:r>
              <w:t>numeric</w:t>
            </w:r>
          </w:p>
        </w:tc>
        <w:tc>
          <w:tcPr>
            <w:tcW w:w="2493" w:type="dxa"/>
            <w:tcBorders>
              <w:top w:val="single" w:sz="4" w:space="0" w:color="000000"/>
              <w:left w:val="single" w:sz="4" w:space="0" w:color="000000"/>
              <w:bottom w:val="single" w:sz="4" w:space="0" w:color="000000"/>
              <w:right w:val="single" w:sz="4" w:space="0" w:color="000000"/>
            </w:tcBorders>
          </w:tcPr>
          <w:p w14:paraId="0BBA285D" w14:textId="77777777" w:rsidR="008A37A4" w:rsidRDefault="001C7DB9">
            <w:pPr>
              <w:spacing w:before="40" w:after="40" w:line="240" w:lineRule="auto"/>
            </w:pPr>
            <w:r>
              <w:t>Predictor</w:t>
            </w:r>
          </w:p>
        </w:tc>
      </w:tr>
      <w:tr w:rsidR="008A37A4" w14:paraId="33BAD670" w14:textId="77777777">
        <w:tc>
          <w:tcPr>
            <w:tcW w:w="2493" w:type="dxa"/>
            <w:tcBorders>
              <w:top w:val="single" w:sz="4" w:space="0" w:color="000000"/>
              <w:left w:val="single" w:sz="4" w:space="0" w:color="000000"/>
              <w:bottom w:val="single" w:sz="4" w:space="0" w:color="000000"/>
              <w:right w:val="single" w:sz="4" w:space="0" w:color="000000"/>
            </w:tcBorders>
          </w:tcPr>
          <w:p w14:paraId="64A77B03" w14:textId="77777777" w:rsidR="008A37A4" w:rsidRDefault="001C7DB9">
            <w:pPr>
              <w:spacing w:before="40" w:after="40" w:line="240" w:lineRule="auto"/>
            </w:pPr>
            <w:r>
              <w:t>event_type</w:t>
            </w:r>
          </w:p>
        </w:tc>
        <w:tc>
          <w:tcPr>
            <w:tcW w:w="2493" w:type="dxa"/>
            <w:tcBorders>
              <w:top w:val="single" w:sz="4" w:space="0" w:color="000000"/>
              <w:left w:val="single" w:sz="4" w:space="0" w:color="000000"/>
              <w:bottom w:val="single" w:sz="4" w:space="0" w:color="000000"/>
              <w:right w:val="single" w:sz="4" w:space="0" w:color="000000"/>
            </w:tcBorders>
          </w:tcPr>
          <w:p w14:paraId="0826FBA2" w14:textId="77777777" w:rsidR="008A37A4" w:rsidRDefault="001C7DB9">
            <w:pPr>
              <w:spacing w:before="40" w:after="40" w:line="240" w:lineRule="auto"/>
            </w:pPr>
            <w:r>
              <w:t>Olympics or World Cup, carried by tournament_id in the merge.</w:t>
            </w:r>
          </w:p>
        </w:tc>
        <w:tc>
          <w:tcPr>
            <w:tcW w:w="2493" w:type="dxa"/>
            <w:tcBorders>
              <w:top w:val="single" w:sz="4" w:space="0" w:color="000000"/>
              <w:left w:val="single" w:sz="4" w:space="0" w:color="000000"/>
              <w:bottom w:val="single" w:sz="4" w:space="0" w:color="000000"/>
              <w:right w:val="single" w:sz="4" w:space="0" w:color="000000"/>
            </w:tcBorders>
          </w:tcPr>
          <w:p w14:paraId="5A902BA6" w14:textId="77777777" w:rsidR="008A37A4" w:rsidRDefault="001C7DB9">
            <w:pPr>
              <w:spacing w:before="40" w:after="40" w:line="240" w:lineRule="auto"/>
            </w:pPr>
            <w:r>
              <w:t>categorical</w:t>
            </w:r>
          </w:p>
        </w:tc>
        <w:tc>
          <w:tcPr>
            <w:tcW w:w="2493" w:type="dxa"/>
            <w:tcBorders>
              <w:top w:val="single" w:sz="4" w:space="0" w:color="000000"/>
              <w:left w:val="single" w:sz="4" w:space="0" w:color="000000"/>
              <w:bottom w:val="single" w:sz="4" w:space="0" w:color="000000"/>
              <w:right w:val="single" w:sz="4" w:space="0" w:color="000000"/>
            </w:tcBorders>
          </w:tcPr>
          <w:p w14:paraId="67E7692D" w14:textId="77777777" w:rsidR="008A37A4" w:rsidRDefault="001C7DB9">
            <w:pPr>
              <w:spacing w:before="40" w:after="40" w:line="240" w:lineRule="auto"/>
            </w:pPr>
            <w:r>
              <w:t>Predictor</w:t>
            </w:r>
          </w:p>
        </w:tc>
      </w:tr>
      <w:tr w:rsidR="008A37A4" w14:paraId="796A6DE9" w14:textId="77777777">
        <w:tc>
          <w:tcPr>
            <w:tcW w:w="2493" w:type="dxa"/>
            <w:tcBorders>
              <w:top w:val="single" w:sz="4" w:space="0" w:color="000000"/>
              <w:left w:val="single" w:sz="4" w:space="0" w:color="000000"/>
              <w:bottom w:val="single" w:sz="4" w:space="0" w:color="000000"/>
              <w:right w:val="single" w:sz="4" w:space="0" w:color="000000"/>
            </w:tcBorders>
          </w:tcPr>
          <w:p w14:paraId="21C16087" w14:textId="77777777" w:rsidR="008A37A4" w:rsidRDefault="001C7DB9">
            <w:pPr>
              <w:spacing w:before="40" w:after="40" w:line="240" w:lineRule="auto"/>
            </w:pPr>
            <w:r>
              <w:t>region / era</w:t>
            </w:r>
          </w:p>
        </w:tc>
        <w:tc>
          <w:tcPr>
            <w:tcW w:w="2493" w:type="dxa"/>
            <w:tcBorders>
              <w:top w:val="single" w:sz="4" w:space="0" w:color="000000"/>
              <w:left w:val="single" w:sz="4" w:space="0" w:color="000000"/>
              <w:bottom w:val="single" w:sz="4" w:space="0" w:color="000000"/>
              <w:right w:val="single" w:sz="4" w:space="0" w:color="000000"/>
            </w:tcBorders>
          </w:tcPr>
          <w:p w14:paraId="12A0ECB8" w14:textId="77777777" w:rsidR="008A37A4" w:rsidRDefault="001C7DB9">
            <w:pPr>
              <w:spacing w:before="40" w:after="40" w:line="240" w:lineRule="auto"/>
            </w:pPr>
            <w:r>
              <w:t xml:space="preserve">Broad geographic region of the host and time band of the edition; to </w:t>
            </w:r>
            <w:proofErr w:type="gramStart"/>
            <w:r>
              <w:t>be assigned</w:t>
            </w:r>
            <w:proofErr w:type="gramEnd"/>
            <w:r>
              <w:t xml:space="preserve"> during preprocessing.</w:t>
            </w:r>
          </w:p>
        </w:tc>
        <w:tc>
          <w:tcPr>
            <w:tcW w:w="2493" w:type="dxa"/>
            <w:tcBorders>
              <w:top w:val="single" w:sz="4" w:space="0" w:color="000000"/>
              <w:left w:val="single" w:sz="4" w:space="0" w:color="000000"/>
              <w:bottom w:val="single" w:sz="4" w:space="0" w:color="000000"/>
              <w:right w:val="single" w:sz="4" w:space="0" w:color="000000"/>
            </w:tcBorders>
          </w:tcPr>
          <w:p w14:paraId="42A601DF" w14:textId="77777777" w:rsidR="008A37A4" w:rsidRDefault="001C7DB9">
            <w:pPr>
              <w:spacing w:before="40" w:after="40" w:line="240" w:lineRule="auto"/>
            </w:pPr>
            <w:r>
              <w:t>categorical</w:t>
            </w:r>
          </w:p>
        </w:tc>
        <w:tc>
          <w:tcPr>
            <w:tcW w:w="2493" w:type="dxa"/>
            <w:tcBorders>
              <w:top w:val="single" w:sz="4" w:space="0" w:color="000000"/>
              <w:left w:val="single" w:sz="4" w:space="0" w:color="000000"/>
              <w:bottom w:val="single" w:sz="4" w:space="0" w:color="000000"/>
              <w:right w:val="single" w:sz="4" w:space="0" w:color="000000"/>
            </w:tcBorders>
          </w:tcPr>
          <w:p w14:paraId="75A2963C" w14:textId="77777777" w:rsidR="008A37A4" w:rsidRDefault="001C7DB9">
            <w:pPr>
              <w:spacing w:before="40" w:after="40" w:line="240" w:lineRule="auto"/>
            </w:pPr>
            <w:r>
              <w:t>Predictors, and grouping variables for the per-region and per-era performance breakdowns</w:t>
            </w:r>
          </w:p>
        </w:tc>
      </w:tr>
      <w:tr w:rsidR="008A37A4" w14:paraId="22473E77" w14:textId="77777777">
        <w:tc>
          <w:tcPr>
            <w:tcW w:w="2493" w:type="dxa"/>
            <w:tcBorders>
              <w:top w:val="single" w:sz="4" w:space="0" w:color="000000"/>
              <w:left w:val="single" w:sz="4" w:space="0" w:color="000000"/>
              <w:bottom w:val="single" w:sz="4" w:space="0" w:color="000000"/>
              <w:right w:val="single" w:sz="4" w:space="0" w:color="000000"/>
            </w:tcBorders>
          </w:tcPr>
          <w:p w14:paraId="03077610" w14:textId="77777777" w:rsidR="008A37A4" w:rsidRDefault="001C7DB9">
            <w:pPr>
              <w:spacing w:before="40" w:after="40" w:line="240" w:lineRule="auto"/>
            </w:pPr>
            <w:r>
              <w:t>city_pop_thousands</w:t>
            </w:r>
          </w:p>
        </w:tc>
        <w:tc>
          <w:tcPr>
            <w:tcW w:w="2493" w:type="dxa"/>
            <w:tcBorders>
              <w:top w:val="single" w:sz="4" w:space="0" w:color="000000"/>
              <w:left w:val="single" w:sz="4" w:space="0" w:color="000000"/>
              <w:bottom w:val="single" w:sz="4" w:space="0" w:color="000000"/>
              <w:right w:val="single" w:sz="4" w:space="0" w:color="000000"/>
            </w:tcBorders>
          </w:tcPr>
          <w:p w14:paraId="50490560" w14:textId="77777777" w:rsidR="008A37A4" w:rsidRDefault="001C7DB9">
            <w:pPr>
              <w:spacing w:before="40" w:after="40" w:line="240" w:lineRule="auto"/>
            </w:pPr>
            <w:r>
              <w:t>Host-city population near the award year (UN World Urbanization Prospects).</w:t>
            </w:r>
          </w:p>
        </w:tc>
        <w:tc>
          <w:tcPr>
            <w:tcW w:w="2493" w:type="dxa"/>
            <w:tcBorders>
              <w:top w:val="single" w:sz="4" w:space="0" w:color="000000"/>
              <w:left w:val="single" w:sz="4" w:space="0" w:color="000000"/>
              <w:bottom w:val="single" w:sz="4" w:space="0" w:color="000000"/>
              <w:right w:val="single" w:sz="4" w:space="0" w:color="000000"/>
            </w:tcBorders>
          </w:tcPr>
          <w:p w14:paraId="1C600B3F" w14:textId="77777777" w:rsidR="008A37A4" w:rsidRDefault="001C7DB9">
            <w:pPr>
              <w:spacing w:before="40" w:after="40" w:line="240" w:lineRule="auto"/>
            </w:pPr>
            <w:r>
              <w:t>numeric</w:t>
            </w:r>
          </w:p>
        </w:tc>
        <w:tc>
          <w:tcPr>
            <w:tcW w:w="2493" w:type="dxa"/>
            <w:tcBorders>
              <w:top w:val="single" w:sz="4" w:space="0" w:color="000000"/>
              <w:left w:val="single" w:sz="4" w:space="0" w:color="000000"/>
              <w:bottom w:val="single" w:sz="4" w:space="0" w:color="000000"/>
              <w:right w:val="single" w:sz="4" w:space="0" w:color="000000"/>
            </w:tcBorders>
          </w:tcPr>
          <w:p w14:paraId="2B9C326D" w14:textId="77777777" w:rsidR="008A37A4" w:rsidRDefault="001C7DB9">
            <w:pPr>
              <w:spacing w:before="40" w:after="40" w:line="240" w:lineRule="auto"/>
            </w:pPr>
            <w:r>
              <w:t>Candidate predictor, pending EDA</w:t>
            </w:r>
          </w:p>
        </w:tc>
      </w:tr>
      <w:tr w:rsidR="008A37A4" w14:paraId="6969EB5F" w14:textId="77777777">
        <w:tc>
          <w:tcPr>
            <w:tcW w:w="2493" w:type="dxa"/>
            <w:tcBorders>
              <w:top w:val="single" w:sz="4" w:space="0" w:color="000000"/>
              <w:left w:val="single" w:sz="4" w:space="0" w:color="000000"/>
              <w:bottom w:val="single" w:sz="4" w:space="0" w:color="000000"/>
              <w:right w:val="single" w:sz="4" w:space="0" w:color="000000"/>
            </w:tcBorders>
          </w:tcPr>
          <w:p w14:paraId="22341DEB" w14:textId="77777777" w:rsidR="008A37A4" w:rsidRDefault="001C7DB9">
            <w:pPr>
              <w:spacing w:before="40" w:after="40" w:line="240" w:lineRule="auto"/>
            </w:pPr>
            <w:r>
              <w:t>construction_cost</w:t>
            </w:r>
          </w:p>
        </w:tc>
        <w:tc>
          <w:tcPr>
            <w:tcW w:w="2493" w:type="dxa"/>
            <w:tcBorders>
              <w:top w:val="single" w:sz="4" w:space="0" w:color="000000"/>
              <w:left w:val="single" w:sz="4" w:space="0" w:color="000000"/>
              <w:bottom w:val="single" w:sz="4" w:space="0" w:color="000000"/>
              <w:right w:val="single" w:sz="4" w:space="0" w:color="000000"/>
            </w:tcBorders>
          </w:tcPr>
          <w:p w14:paraId="446C8D2C" w14:textId="77777777" w:rsidR="008A37A4" w:rsidRDefault="001C7DB9">
            <w:pPr>
              <w:spacing w:before="40" w:after="40" w:line="240" w:lineRule="auto"/>
            </w:pPr>
            <w:r>
              <w:t xml:space="preserve">Reported cost of building the venue. No </w:t>
            </w:r>
            <w:r>
              <w:lastRenderedPageBreak/>
              <w:t xml:space="preserve">source identified yet; records </w:t>
            </w:r>
            <w:proofErr w:type="gramStart"/>
            <w:r>
              <w:t>are scattered</w:t>
            </w:r>
            <w:proofErr w:type="gramEnd"/>
            <w:r>
              <w:t xml:space="preserve"> and mostly recent.</w:t>
            </w:r>
          </w:p>
        </w:tc>
        <w:tc>
          <w:tcPr>
            <w:tcW w:w="2493" w:type="dxa"/>
            <w:tcBorders>
              <w:top w:val="single" w:sz="4" w:space="0" w:color="000000"/>
              <w:left w:val="single" w:sz="4" w:space="0" w:color="000000"/>
              <w:bottom w:val="single" w:sz="4" w:space="0" w:color="000000"/>
              <w:right w:val="single" w:sz="4" w:space="0" w:color="000000"/>
            </w:tcBorders>
          </w:tcPr>
          <w:p w14:paraId="1370B1CB" w14:textId="77777777" w:rsidR="008A37A4" w:rsidRDefault="001C7DB9">
            <w:pPr>
              <w:spacing w:before="40" w:after="40" w:line="240" w:lineRule="auto"/>
            </w:pPr>
            <w:r>
              <w:lastRenderedPageBreak/>
              <w:t>numeric</w:t>
            </w:r>
          </w:p>
        </w:tc>
        <w:tc>
          <w:tcPr>
            <w:tcW w:w="2493" w:type="dxa"/>
            <w:tcBorders>
              <w:top w:val="single" w:sz="4" w:space="0" w:color="000000"/>
              <w:left w:val="single" w:sz="4" w:space="0" w:color="000000"/>
              <w:bottom w:val="single" w:sz="4" w:space="0" w:color="000000"/>
              <w:right w:val="single" w:sz="4" w:space="0" w:color="000000"/>
            </w:tcBorders>
          </w:tcPr>
          <w:p w14:paraId="6561864B" w14:textId="77777777" w:rsidR="008A37A4" w:rsidRDefault="001C7DB9">
            <w:pPr>
              <w:spacing w:before="40" w:after="40" w:line="240" w:lineRule="auto"/>
            </w:pPr>
            <w:r>
              <w:t xml:space="preserve">Candidate predictor, pending data </w:t>
            </w:r>
            <w:r>
              <w:lastRenderedPageBreak/>
              <w:t>availability</w:t>
            </w:r>
          </w:p>
        </w:tc>
      </w:tr>
      <w:tr w:rsidR="008A37A4" w14:paraId="30171F90" w14:textId="77777777">
        <w:tc>
          <w:tcPr>
            <w:tcW w:w="2493" w:type="dxa"/>
            <w:tcBorders>
              <w:top w:val="single" w:sz="4" w:space="0" w:color="000000"/>
              <w:left w:val="single" w:sz="4" w:space="0" w:color="000000"/>
              <w:bottom w:val="single" w:sz="4" w:space="0" w:color="000000"/>
              <w:right w:val="single" w:sz="4" w:space="0" w:color="000000"/>
            </w:tcBorders>
          </w:tcPr>
          <w:p w14:paraId="1F778C95" w14:textId="77777777" w:rsidR="008A37A4" w:rsidRDefault="001C7DB9">
            <w:pPr>
              <w:spacing w:before="40" w:after="40" w:line="240" w:lineRule="auto"/>
            </w:pPr>
            <w:r>
              <w:lastRenderedPageBreak/>
              <w:t>tournament_id</w:t>
            </w:r>
          </w:p>
        </w:tc>
        <w:tc>
          <w:tcPr>
            <w:tcW w:w="2493" w:type="dxa"/>
            <w:tcBorders>
              <w:top w:val="single" w:sz="4" w:space="0" w:color="000000"/>
              <w:left w:val="single" w:sz="4" w:space="0" w:color="000000"/>
              <w:bottom w:val="single" w:sz="4" w:space="0" w:color="000000"/>
              <w:right w:val="single" w:sz="4" w:space="0" w:color="000000"/>
            </w:tcBorders>
          </w:tcPr>
          <w:p w14:paraId="4858E747" w14:textId="77777777" w:rsidR="008A37A4" w:rsidRDefault="001C7DB9">
            <w:pPr>
              <w:spacing w:before="40" w:after="40" w:line="240" w:lineRule="auto"/>
            </w:pPr>
            <w:r>
              <w:t xml:space="preserve">Which event and </w:t>
            </w:r>
            <w:proofErr w:type="gramStart"/>
            <w:r>
              <w:t>edition the row</w:t>
            </w:r>
            <w:proofErr w:type="gramEnd"/>
            <w:r>
              <w:t xml:space="preserve"> belongs to (for example WC-1978).</w:t>
            </w:r>
          </w:p>
        </w:tc>
        <w:tc>
          <w:tcPr>
            <w:tcW w:w="2493" w:type="dxa"/>
            <w:tcBorders>
              <w:top w:val="single" w:sz="4" w:space="0" w:color="000000"/>
              <w:left w:val="single" w:sz="4" w:space="0" w:color="000000"/>
              <w:bottom w:val="single" w:sz="4" w:space="0" w:color="000000"/>
              <w:right w:val="single" w:sz="4" w:space="0" w:color="000000"/>
            </w:tcBorders>
          </w:tcPr>
          <w:p w14:paraId="15AD5CA5" w14:textId="77777777" w:rsidR="008A37A4" w:rsidRDefault="001C7DB9">
            <w:pPr>
              <w:spacing w:before="40" w:after="40" w:line="240" w:lineRule="auto"/>
            </w:pPr>
            <w:r>
              <w:t>categorical</w:t>
            </w:r>
          </w:p>
        </w:tc>
        <w:tc>
          <w:tcPr>
            <w:tcW w:w="2493" w:type="dxa"/>
            <w:tcBorders>
              <w:top w:val="single" w:sz="4" w:space="0" w:color="000000"/>
              <w:left w:val="single" w:sz="4" w:space="0" w:color="000000"/>
              <w:bottom w:val="single" w:sz="4" w:space="0" w:color="000000"/>
              <w:right w:val="single" w:sz="4" w:space="0" w:color="000000"/>
            </w:tcBorders>
          </w:tcPr>
          <w:p w14:paraId="36C7F537" w14:textId="77777777" w:rsidR="008A37A4" w:rsidRDefault="001C7DB9">
            <w:pPr>
              <w:spacing w:before="40" w:after="40" w:line="240" w:lineRule="auto"/>
            </w:pPr>
            <w:r>
              <w:t>Grouping variable: the unit of the train/test split</w:t>
            </w:r>
          </w:p>
        </w:tc>
      </w:tr>
      <w:tr w:rsidR="008A37A4" w14:paraId="0119C94A" w14:textId="77777777">
        <w:tc>
          <w:tcPr>
            <w:tcW w:w="2493" w:type="dxa"/>
            <w:tcBorders>
              <w:top w:val="single" w:sz="4" w:space="0" w:color="000000"/>
              <w:left w:val="single" w:sz="4" w:space="0" w:color="000000"/>
              <w:bottom w:val="single" w:sz="4" w:space="0" w:color="000000"/>
              <w:right w:val="single" w:sz="4" w:space="0" w:color="000000"/>
            </w:tcBorders>
          </w:tcPr>
          <w:p w14:paraId="0222B653" w14:textId="77777777" w:rsidR="008A37A4" w:rsidRDefault="001C7DB9">
            <w:pPr>
              <w:spacing w:before="40" w:after="40" w:line="240" w:lineRule="auto"/>
            </w:pPr>
            <w:r>
              <w:t>stadium_id / stadium_name</w:t>
            </w:r>
          </w:p>
        </w:tc>
        <w:tc>
          <w:tcPr>
            <w:tcW w:w="2493" w:type="dxa"/>
            <w:tcBorders>
              <w:top w:val="single" w:sz="4" w:space="0" w:color="000000"/>
              <w:left w:val="single" w:sz="4" w:space="0" w:color="000000"/>
              <w:bottom w:val="single" w:sz="4" w:space="0" w:color="000000"/>
              <w:right w:val="single" w:sz="4" w:space="0" w:color="000000"/>
            </w:tcBorders>
          </w:tcPr>
          <w:p w14:paraId="08B94DEC" w14:textId="77777777" w:rsidR="008A37A4" w:rsidRDefault="001C7DB9">
            <w:pPr>
              <w:spacing w:before="40" w:after="40" w:line="240" w:lineRule="auto"/>
            </w:pPr>
            <w:r>
              <w:t>Which building this is. A stadium that hosted more than one tournament keeps one id across its rows.</w:t>
            </w:r>
          </w:p>
        </w:tc>
        <w:tc>
          <w:tcPr>
            <w:tcW w:w="2493" w:type="dxa"/>
            <w:tcBorders>
              <w:top w:val="single" w:sz="4" w:space="0" w:color="000000"/>
              <w:left w:val="single" w:sz="4" w:space="0" w:color="000000"/>
              <w:bottom w:val="single" w:sz="4" w:space="0" w:color="000000"/>
              <w:right w:val="single" w:sz="4" w:space="0" w:color="000000"/>
            </w:tcBorders>
          </w:tcPr>
          <w:p w14:paraId="47EEF9F4" w14:textId="77777777" w:rsidR="008A37A4" w:rsidRDefault="001C7DB9">
            <w:pPr>
              <w:spacing w:before="40" w:after="40" w:line="240" w:lineRule="auto"/>
            </w:pPr>
            <w:r>
              <w:t>text</w:t>
            </w:r>
          </w:p>
        </w:tc>
        <w:tc>
          <w:tcPr>
            <w:tcW w:w="2493" w:type="dxa"/>
            <w:tcBorders>
              <w:top w:val="single" w:sz="4" w:space="0" w:color="000000"/>
              <w:left w:val="single" w:sz="4" w:space="0" w:color="000000"/>
              <w:bottom w:val="single" w:sz="4" w:space="0" w:color="000000"/>
              <w:right w:val="single" w:sz="4" w:space="0" w:color="000000"/>
            </w:tcBorders>
          </w:tcPr>
          <w:p w14:paraId="35F7DE59" w14:textId="77777777" w:rsidR="008A37A4" w:rsidRDefault="001C7DB9">
            <w:pPr>
              <w:spacing w:before="40" w:after="40" w:line="240" w:lineRule="auto"/>
            </w:pPr>
            <w:proofErr w:type="gramStart"/>
            <w:r>
              <w:t>Identifier;</w:t>
            </w:r>
            <w:proofErr w:type="gramEnd"/>
            <w:r>
              <w:t xml:space="preserve"> also groups rows so one stadium never lands on both sides of the split</w:t>
            </w:r>
          </w:p>
        </w:tc>
      </w:tr>
      <w:tr w:rsidR="008A37A4" w14:paraId="5CD7E11A" w14:textId="77777777">
        <w:tc>
          <w:tcPr>
            <w:tcW w:w="2493" w:type="dxa"/>
            <w:tcBorders>
              <w:top w:val="single" w:sz="4" w:space="0" w:color="000000"/>
              <w:left w:val="single" w:sz="4" w:space="0" w:color="000000"/>
              <w:bottom w:val="single" w:sz="4" w:space="0" w:color="000000"/>
              <w:right w:val="single" w:sz="4" w:space="0" w:color="000000"/>
            </w:tcBorders>
          </w:tcPr>
          <w:p w14:paraId="554BBDE6" w14:textId="77777777" w:rsidR="008A37A4" w:rsidRDefault="001C7DB9">
            <w:pPr>
              <w:spacing w:before="40" w:after="40" w:line="240" w:lineRule="auto"/>
            </w:pPr>
            <w:r>
              <w:t>award_year</w:t>
            </w:r>
          </w:p>
        </w:tc>
        <w:tc>
          <w:tcPr>
            <w:tcW w:w="2493" w:type="dxa"/>
            <w:tcBorders>
              <w:top w:val="single" w:sz="4" w:space="0" w:color="000000"/>
              <w:left w:val="single" w:sz="4" w:space="0" w:color="000000"/>
              <w:bottom w:val="single" w:sz="4" w:space="0" w:color="000000"/>
              <w:right w:val="single" w:sz="4" w:space="0" w:color="000000"/>
            </w:tcBorders>
          </w:tcPr>
          <w:p w14:paraId="55C10C3A" w14:textId="77777777" w:rsidR="008A37A4" w:rsidRDefault="001C7DB9">
            <w:pPr>
              <w:spacing w:before="40" w:after="40" w:line="240" w:lineRule="auto"/>
            </w:pPr>
            <w:r>
              <w:t xml:space="preserve">The year the event </w:t>
            </w:r>
            <w:proofErr w:type="gramStart"/>
            <w:r>
              <w:t>was awarded</w:t>
            </w:r>
            <w:proofErr w:type="gramEnd"/>
            <w:r>
              <w:t xml:space="preserve"> to its host.</w:t>
            </w:r>
          </w:p>
        </w:tc>
        <w:tc>
          <w:tcPr>
            <w:tcW w:w="2493" w:type="dxa"/>
            <w:tcBorders>
              <w:top w:val="single" w:sz="4" w:space="0" w:color="000000"/>
              <w:left w:val="single" w:sz="4" w:space="0" w:color="000000"/>
              <w:bottom w:val="single" w:sz="4" w:space="0" w:color="000000"/>
              <w:right w:val="single" w:sz="4" w:space="0" w:color="000000"/>
            </w:tcBorders>
          </w:tcPr>
          <w:p w14:paraId="69FEF30C" w14:textId="77777777" w:rsidR="008A37A4" w:rsidRDefault="001C7DB9">
            <w:pPr>
              <w:spacing w:before="40" w:after="40" w:line="240" w:lineRule="auto"/>
            </w:pPr>
            <w:r>
              <w:t>numeric (year)</w:t>
            </w:r>
          </w:p>
        </w:tc>
        <w:tc>
          <w:tcPr>
            <w:tcW w:w="2493" w:type="dxa"/>
            <w:tcBorders>
              <w:top w:val="single" w:sz="4" w:space="0" w:color="000000"/>
              <w:left w:val="single" w:sz="4" w:space="0" w:color="000000"/>
              <w:bottom w:val="single" w:sz="4" w:space="0" w:color="000000"/>
              <w:right w:val="single" w:sz="4" w:space="0" w:color="000000"/>
            </w:tcBorders>
          </w:tcPr>
          <w:p w14:paraId="74BEF55D" w14:textId="77777777" w:rsidR="008A37A4" w:rsidRDefault="001C7DB9">
            <w:pPr>
              <w:spacing w:before="40" w:after="40" w:line="240" w:lineRule="auto"/>
            </w:pPr>
            <w:r>
              <w:t xml:space="preserve">Join key: income, corruption and city population </w:t>
            </w:r>
            <w:proofErr w:type="gramStart"/>
            <w:r>
              <w:t>are measured</w:t>
            </w:r>
            <w:proofErr w:type="gramEnd"/>
            <w:r>
              <w:t xml:space="preserve"> at this year; newly_built </w:t>
            </w:r>
            <w:proofErr w:type="gramStart"/>
            <w:r>
              <w:t>is judged</w:t>
            </w:r>
            <w:proofErr w:type="gramEnd"/>
            <w:r>
              <w:t xml:space="preserve"> against it</w:t>
            </w:r>
          </w:p>
        </w:tc>
      </w:tr>
      <w:tr w:rsidR="008A37A4" w14:paraId="01274A6F" w14:textId="77777777">
        <w:tc>
          <w:tcPr>
            <w:tcW w:w="2493" w:type="dxa"/>
            <w:tcBorders>
              <w:top w:val="single" w:sz="4" w:space="0" w:color="000000"/>
              <w:left w:val="single" w:sz="4" w:space="0" w:color="000000"/>
              <w:bottom w:val="single" w:sz="4" w:space="0" w:color="000000"/>
              <w:right w:val="single" w:sz="4" w:space="0" w:color="000000"/>
            </w:tcBorders>
          </w:tcPr>
          <w:p w14:paraId="60E38713" w14:textId="77777777" w:rsidR="008A37A4" w:rsidRDefault="001C7DB9">
            <w:pPr>
              <w:spacing w:before="40" w:after="40" w:line="240" w:lineRule="auto"/>
            </w:pPr>
            <w:r>
              <w:t>opened_year</w:t>
            </w:r>
          </w:p>
        </w:tc>
        <w:tc>
          <w:tcPr>
            <w:tcW w:w="2493" w:type="dxa"/>
            <w:tcBorders>
              <w:top w:val="single" w:sz="4" w:space="0" w:color="000000"/>
              <w:left w:val="single" w:sz="4" w:space="0" w:color="000000"/>
              <w:bottom w:val="single" w:sz="4" w:space="0" w:color="000000"/>
              <w:right w:val="single" w:sz="4" w:space="0" w:color="000000"/>
            </w:tcBorders>
          </w:tcPr>
          <w:p w14:paraId="13C1BB92" w14:textId="77777777" w:rsidR="008A37A4" w:rsidRDefault="001C7DB9">
            <w:pPr>
              <w:spacing w:before="40" w:after="40" w:line="240" w:lineRule="auto"/>
            </w:pPr>
            <w:r>
              <w:t>The year the venue opened.</w:t>
            </w:r>
          </w:p>
        </w:tc>
        <w:tc>
          <w:tcPr>
            <w:tcW w:w="2493" w:type="dxa"/>
            <w:tcBorders>
              <w:top w:val="single" w:sz="4" w:space="0" w:color="000000"/>
              <w:left w:val="single" w:sz="4" w:space="0" w:color="000000"/>
              <w:bottom w:val="single" w:sz="4" w:space="0" w:color="000000"/>
              <w:right w:val="single" w:sz="4" w:space="0" w:color="000000"/>
            </w:tcBorders>
          </w:tcPr>
          <w:p w14:paraId="0A459773" w14:textId="77777777" w:rsidR="008A37A4" w:rsidRDefault="001C7DB9">
            <w:pPr>
              <w:spacing w:before="40" w:after="40" w:line="240" w:lineRule="auto"/>
            </w:pPr>
            <w:r>
              <w:t>numeric (year)</w:t>
            </w:r>
          </w:p>
        </w:tc>
        <w:tc>
          <w:tcPr>
            <w:tcW w:w="2493" w:type="dxa"/>
            <w:tcBorders>
              <w:top w:val="single" w:sz="4" w:space="0" w:color="000000"/>
              <w:left w:val="single" w:sz="4" w:space="0" w:color="000000"/>
              <w:bottom w:val="single" w:sz="4" w:space="0" w:color="000000"/>
              <w:right w:val="single" w:sz="4" w:space="0" w:color="000000"/>
            </w:tcBorders>
          </w:tcPr>
          <w:p w14:paraId="2ACFCE3A" w14:textId="77777777" w:rsidR="008A37A4" w:rsidRDefault="001C7DB9">
            <w:pPr>
              <w:spacing w:before="40" w:after="40" w:line="240" w:lineRule="auto"/>
            </w:pPr>
            <w:r>
              <w:t>Supports the newly_built label and the young-demolition sensitivity check</w:t>
            </w:r>
          </w:p>
        </w:tc>
      </w:tr>
      <w:tr w:rsidR="008A37A4" w14:paraId="719B89EB" w14:textId="77777777">
        <w:tc>
          <w:tcPr>
            <w:tcW w:w="2493" w:type="dxa"/>
            <w:tcBorders>
              <w:top w:val="single" w:sz="4" w:space="0" w:color="000000"/>
              <w:left w:val="single" w:sz="4" w:space="0" w:color="000000"/>
              <w:bottom w:val="single" w:sz="4" w:space="0" w:color="000000"/>
              <w:right w:val="single" w:sz="4" w:space="0" w:color="000000"/>
            </w:tcBorders>
          </w:tcPr>
          <w:p w14:paraId="5B5F431D" w14:textId="77777777" w:rsidR="008A37A4" w:rsidRDefault="001C7DB9">
            <w:pPr>
              <w:spacing w:before="40" w:after="40" w:line="240" w:lineRule="auto"/>
            </w:pPr>
            <w:r>
              <w:t>current_status</w:t>
            </w:r>
          </w:p>
        </w:tc>
        <w:tc>
          <w:tcPr>
            <w:tcW w:w="2493" w:type="dxa"/>
            <w:tcBorders>
              <w:top w:val="single" w:sz="4" w:space="0" w:color="000000"/>
              <w:left w:val="single" w:sz="4" w:space="0" w:color="000000"/>
              <w:bottom w:val="single" w:sz="4" w:space="0" w:color="000000"/>
              <w:right w:val="single" w:sz="4" w:space="0" w:color="000000"/>
            </w:tcBorders>
          </w:tcPr>
          <w:p w14:paraId="709E919D" w14:textId="77777777" w:rsidR="008A37A4" w:rsidRDefault="001C7DB9">
            <w:pPr>
              <w:spacing w:before="40" w:after="40" w:line="240" w:lineRule="auto"/>
            </w:pPr>
            <w:r>
              <w:t>What the venue is today: in use, not in use, or dismantled (IOC conventions on both halves of the data).</w:t>
            </w:r>
          </w:p>
        </w:tc>
        <w:tc>
          <w:tcPr>
            <w:tcW w:w="2493" w:type="dxa"/>
            <w:tcBorders>
              <w:top w:val="single" w:sz="4" w:space="0" w:color="000000"/>
              <w:left w:val="single" w:sz="4" w:space="0" w:color="000000"/>
              <w:bottom w:val="single" w:sz="4" w:space="0" w:color="000000"/>
              <w:right w:val="single" w:sz="4" w:space="0" w:color="000000"/>
            </w:tcBorders>
          </w:tcPr>
          <w:p w14:paraId="0E4536CA" w14:textId="77777777" w:rsidR="008A37A4" w:rsidRDefault="001C7DB9">
            <w:pPr>
              <w:spacing w:before="40" w:after="40" w:line="240" w:lineRule="auto"/>
            </w:pPr>
            <w:r>
              <w:t>categorical</w:t>
            </w:r>
          </w:p>
        </w:tc>
        <w:tc>
          <w:tcPr>
            <w:tcW w:w="2493" w:type="dxa"/>
            <w:tcBorders>
              <w:top w:val="single" w:sz="4" w:space="0" w:color="000000"/>
              <w:left w:val="single" w:sz="4" w:space="0" w:color="000000"/>
              <w:bottom w:val="single" w:sz="4" w:space="0" w:color="000000"/>
              <w:right w:val="single" w:sz="4" w:space="0" w:color="000000"/>
            </w:tcBorders>
          </w:tcPr>
          <w:p w14:paraId="10539583" w14:textId="77777777" w:rsidR="008A37A4" w:rsidRDefault="001C7DB9">
            <w:pPr>
              <w:spacing w:before="40" w:after="40" w:line="240" w:lineRule="auto"/>
            </w:pPr>
            <w:r>
              <w:t>Source for the target; not a model input</w:t>
            </w:r>
          </w:p>
        </w:tc>
      </w:tr>
      <w:tr w:rsidR="008A37A4" w14:paraId="28F8BB0B" w14:textId="77777777">
        <w:tc>
          <w:tcPr>
            <w:tcW w:w="2493" w:type="dxa"/>
            <w:tcBorders>
              <w:top w:val="single" w:sz="4" w:space="0" w:color="000000"/>
              <w:left w:val="single" w:sz="4" w:space="0" w:color="000000"/>
              <w:bottom w:val="single" w:sz="4" w:space="0" w:color="000000"/>
              <w:right w:val="single" w:sz="4" w:space="0" w:color="000000"/>
            </w:tcBorders>
          </w:tcPr>
          <w:p w14:paraId="7706F993" w14:textId="77777777" w:rsidR="008A37A4" w:rsidRDefault="001C7DB9">
            <w:pPr>
              <w:spacing w:before="40" w:after="40" w:line="240" w:lineRule="auto"/>
            </w:pPr>
            <w:r>
              <w:t>status_detail / not_in_use_reason</w:t>
            </w:r>
          </w:p>
        </w:tc>
        <w:tc>
          <w:tcPr>
            <w:tcW w:w="2493" w:type="dxa"/>
            <w:tcBorders>
              <w:top w:val="single" w:sz="4" w:space="0" w:color="000000"/>
              <w:left w:val="single" w:sz="4" w:space="0" w:color="000000"/>
              <w:bottom w:val="single" w:sz="4" w:space="0" w:color="000000"/>
              <w:right w:val="single" w:sz="4" w:space="0" w:color="000000"/>
            </w:tcBorders>
          </w:tcPr>
          <w:p w14:paraId="61A16A52" w14:textId="77777777" w:rsidR="008A37A4" w:rsidRDefault="001C7DB9">
            <w:pPr>
              <w:spacing w:before="40" w:after="40" w:line="240" w:lineRule="auto"/>
            </w:pPr>
            <w:r>
              <w:t>Why an out-of-use venue is out of use.</w:t>
            </w:r>
          </w:p>
        </w:tc>
        <w:tc>
          <w:tcPr>
            <w:tcW w:w="2493" w:type="dxa"/>
            <w:tcBorders>
              <w:top w:val="single" w:sz="4" w:space="0" w:color="000000"/>
              <w:left w:val="single" w:sz="4" w:space="0" w:color="000000"/>
              <w:bottom w:val="single" w:sz="4" w:space="0" w:color="000000"/>
              <w:right w:val="single" w:sz="4" w:space="0" w:color="000000"/>
            </w:tcBorders>
          </w:tcPr>
          <w:p w14:paraId="0878B79D" w14:textId="77777777" w:rsidR="008A37A4" w:rsidRDefault="001C7DB9">
            <w:pPr>
              <w:spacing w:before="40" w:after="40" w:line="240" w:lineRule="auto"/>
            </w:pPr>
            <w:r>
              <w:t>text</w:t>
            </w:r>
          </w:p>
        </w:tc>
        <w:tc>
          <w:tcPr>
            <w:tcW w:w="2493" w:type="dxa"/>
            <w:tcBorders>
              <w:top w:val="single" w:sz="4" w:space="0" w:color="000000"/>
              <w:left w:val="single" w:sz="4" w:space="0" w:color="000000"/>
              <w:bottom w:val="single" w:sz="4" w:space="0" w:color="000000"/>
              <w:right w:val="single" w:sz="4" w:space="0" w:color="000000"/>
            </w:tcBorders>
          </w:tcPr>
          <w:p w14:paraId="1A28C420" w14:textId="77777777" w:rsidR="008A37A4" w:rsidRDefault="001C7DB9">
            <w:pPr>
              <w:spacing w:before="40" w:after="40" w:line="240" w:lineRule="auto"/>
            </w:pPr>
            <w:r>
              <w:t>Used with current_status to derive the target; not a model input</w:t>
            </w:r>
          </w:p>
        </w:tc>
      </w:tr>
    </w:tbl>
    <w:p w14:paraId="692C7068" w14:textId="77777777" w:rsidR="008A37A4" w:rsidRDefault="001C7DB9" w:rsidP="00A12EC0">
      <w:pPr>
        <w:pStyle w:val="Heading1"/>
      </w:pPr>
      <w:r>
        <w:t>Technical Details</w:t>
      </w:r>
    </w:p>
    <w:p w14:paraId="68E136B2" w14:textId="77777777" w:rsidR="008A37A4" w:rsidRDefault="001C7DB9">
      <w:r>
        <w:rPr>
          <w:b/>
          <w:bCs/>
        </w:rPr>
        <w:t>Language:</w:t>
      </w:r>
      <w:r>
        <w:t xml:space="preserve"> R (tidyverse, glmnet, randomForest, gbm, stats); Python possible for </w:t>
      </w:r>
      <w:proofErr w:type="gramStart"/>
      <w:r>
        <w:t>some</w:t>
      </w:r>
      <w:proofErr w:type="gramEnd"/>
      <w:r>
        <w:t xml:space="preserve"> pieces.</w:t>
      </w:r>
    </w:p>
    <w:p w14:paraId="22FC409A" w14:textId="77777777" w:rsidR="008A37A4" w:rsidRDefault="001C7DB9">
      <w:r>
        <w:rPr>
          <w:b/>
          <w:bCs/>
        </w:rPr>
        <w:t>Compute:</w:t>
      </w:r>
      <w:r>
        <w:t xml:space="preserve"> poppler-utils (pdftotext) for the PDF tables; coordinates come from the existing Wikidata pull.</w:t>
      </w:r>
    </w:p>
    <w:p w14:paraId="42472A0A" w14:textId="77777777" w:rsidR="008A37A4" w:rsidRDefault="001C7DB9">
      <w:r>
        <w:rPr>
          <w:b/>
          <w:bCs/>
        </w:rPr>
        <w:t>Repo:</w:t>
      </w:r>
      <w:r>
        <w:t xml:space="preserve"> </w:t>
      </w:r>
      <w:hyperlink r:id="rId12">
        <w:r>
          <w:rPr>
            <w:rStyle w:val="Hyperlink"/>
          </w:rPr>
          <w:t>https://github.com/Smoothspinner/sports-urbanism-capstone</w:t>
        </w:r>
      </w:hyperlink>
    </w:p>
    <w:p w14:paraId="3F249028" w14:textId="77777777" w:rsidR="008A37A4" w:rsidRDefault="001C7DB9" w:rsidP="00A12EC0">
      <w:pPr>
        <w:pStyle w:val="Heading1"/>
      </w:pPr>
      <w:bookmarkStart w:id="4" w:name="references"/>
      <w:r>
        <w:lastRenderedPageBreak/>
        <w:t>References</w:t>
      </w:r>
    </w:p>
    <w:p w14:paraId="78BB3627" w14:textId="77777777" w:rsidR="008A37A4" w:rsidRDefault="001C7DB9">
      <w:r>
        <w:t xml:space="preserve">Alm, J., Solberg, H. A., Storm, R. K., &amp; Jakobsen, T. G. (2016). Hosting major sports events: the challenge of taming white elephants. </w:t>
      </w:r>
      <w:r>
        <w:rPr>
          <w:i/>
          <w:iCs/>
        </w:rPr>
        <w:t>Leisure Studies</w:t>
      </w:r>
      <w:r>
        <w:t xml:space="preserve">, 35(5), 564-582. </w:t>
      </w:r>
      <w:hyperlink r:id="rId13">
        <w:r>
          <w:rPr>
            <w:rStyle w:val="Hyperlink"/>
          </w:rPr>
          <w:t>https://doi.org/10.1080/02614367.2014.994550</w:t>
        </w:r>
      </w:hyperlink>
    </w:p>
    <w:p w14:paraId="41197E63" w14:textId="77777777" w:rsidR="008A37A4" w:rsidRDefault="001C7DB9">
      <w:pPr>
        <w:pStyle w:val="BodyText"/>
      </w:pPr>
      <w:r>
        <w:t xml:space="preserve">Davis, J. (2020). Avoiding white elephants? The planning and design of London’s 2012 Olympic and Paralympic venues, 2002-2018. </w:t>
      </w:r>
      <w:r>
        <w:rPr>
          <w:i/>
          <w:iCs/>
        </w:rPr>
        <w:t>Planning Perspectives</w:t>
      </w:r>
      <w:r>
        <w:t xml:space="preserve">, 35(5), 827-848. </w:t>
      </w:r>
      <w:hyperlink r:id="rId14">
        <w:r>
          <w:rPr>
            <w:rStyle w:val="Hyperlink"/>
          </w:rPr>
          <w:t>https://doi.org/10.1080/02665433.2019.1633948</w:t>
        </w:r>
      </w:hyperlink>
      <w:bookmarkEnd w:id="0"/>
      <w:bookmarkEnd w:id="4"/>
    </w:p>
    <w:p w14:paraId="0A127E80" w14:textId="77777777" w:rsidR="008A37A4" w:rsidRDefault="001C7DB9">
      <w:pPr>
        <w:pStyle w:val="BodyText"/>
      </w:pPr>
      <w:r>
        <w:t xml:space="preserve">Fjelstul, J. C. (2023). The Fjelstul World Cup Database [Data set]. GitHub. </w:t>
      </w:r>
      <w:hyperlink r:id="rId15">
        <w:r>
          <w:rPr>
            <w:rStyle w:val="Hyperlink"/>
          </w:rPr>
          <w:t>https://github.com/jfjelstul/worldcup</w:t>
        </w:r>
      </w:hyperlink>
    </w:p>
    <w:p w14:paraId="028BA283" w14:textId="77777777" w:rsidR="008A37A4" w:rsidRDefault="001C7DB9">
      <w:pPr>
        <w:pStyle w:val="BodyText"/>
      </w:pPr>
      <w:r>
        <w:t xml:space="preserve">Flyvbjerg, B., Stewart, A., &amp; Budzier, A. (2016). The Oxford Olympics Study 2016: Cost and cost overrun at the Games. Said Business School Working Papers. </w:t>
      </w:r>
      <w:hyperlink r:id="rId16">
        <w:r>
          <w:rPr>
            <w:rStyle w:val="Hyperlink"/>
          </w:rPr>
          <w:t>https://arxiv.org/abs/1607.04484</w:t>
        </w:r>
      </w:hyperlink>
    </w:p>
    <w:p w14:paraId="41E61CEF" w14:textId="77777777" w:rsidR="008A37A4" w:rsidRDefault="001C7DB9">
      <w:pPr>
        <w:pStyle w:val="BodyText"/>
      </w:pPr>
      <w:r>
        <w:t xml:space="preserve">Flyvbjerg, B., Budzier, A., &amp; Lunn, D. (2024). The Oxford Olympics Study 2024: Are cost and cost overrun at the Games coming down? </w:t>
      </w:r>
      <w:hyperlink r:id="rId17">
        <w:r>
          <w:rPr>
            <w:rStyle w:val="Hyperlink"/>
          </w:rPr>
          <w:t>https://arxiv.org/abs/2406.01714</w:t>
        </w:r>
      </w:hyperlink>
    </w:p>
    <w:p w14:paraId="33F0D026" w14:textId="77777777" w:rsidR="008A37A4" w:rsidRDefault="001C7DB9">
      <w:pPr>
        <w:pStyle w:val="BodyText"/>
      </w:pPr>
      <w:r>
        <w:t xml:space="preserve">International Olympic Committee, Olympic Studies Centre. (2025). Over 125 years of Olympic venues: post-Games use (OSC Reference Collection). </w:t>
      </w:r>
      <w:hyperlink r:id="rId18">
        <w:r>
          <w:rPr>
            <w:rStyle w:val="Hyperlink"/>
          </w:rPr>
          <w:t>https://stillmed.olympics.com/media/Documents/Olympic-Games/Olympic-legacy/Full-report-venues-post-games-use.pdf</w:t>
        </w:r>
      </w:hyperlink>
    </w:p>
    <w:p w14:paraId="386E0BAF" w14:textId="77777777" w:rsidR="008A37A4" w:rsidRDefault="001C7DB9">
      <w:pPr>
        <w:pStyle w:val="BodyText"/>
      </w:pPr>
      <w:r>
        <w:t xml:space="preserve">Muller, M. (2015). The Mega-Event Syndrome: Why So Much Goes Wrong in Mega-Event Planning and What to Do About It. </w:t>
      </w:r>
      <w:r>
        <w:rPr>
          <w:i/>
          <w:iCs/>
        </w:rPr>
        <w:t>Journal of the American Planning Association</w:t>
      </w:r>
      <w:r>
        <w:t xml:space="preserve">, 81(1), 6-17. </w:t>
      </w:r>
      <w:hyperlink r:id="rId19">
        <w:r>
          <w:rPr>
            <w:rStyle w:val="Hyperlink"/>
          </w:rPr>
          <w:t>https://doi.org/10.1080/01944363.2015.1038292</w:t>
        </w:r>
      </w:hyperlink>
    </w:p>
    <w:p w14:paraId="70C31628" w14:textId="77777777" w:rsidR="008A37A4" w:rsidRDefault="001C7DB9">
      <w:pPr>
        <w:pStyle w:val="BodyText"/>
      </w:pPr>
      <w:r>
        <w:t xml:space="preserve">Transparency International. (n.d.). Corruption Perceptions Index [Data set]. Retrieved July 19, 2026, from </w:t>
      </w:r>
      <w:hyperlink r:id="rId20">
        <w:r>
          <w:rPr>
            <w:rStyle w:val="Hyperlink"/>
          </w:rPr>
          <w:t>https://www.transparency.org/en/cpi</w:t>
        </w:r>
      </w:hyperlink>
    </w:p>
    <w:p w14:paraId="0735F7B8" w14:textId="77777777" w:rsidR="008A37A4" w:rsidRDefault="001C7DB9">
      <w:pPr>
        <w:pStyle w:val="BodyText"/>
      </w:pPr>
      <w:r>
        <w:t xml:space="preserve">United Nations, Department of Economic and Social Affairs, Population Division. (2025). World Urbanization Prospects 2025 [Data set]. </w:t>
      </w:r>
      <w:hyperlink r:id="rId21">
        <w:r>
          <w:rPr>
            <w:rStyle w:val="Hyperlink"/>
          </w:rPr>
          <w:t>https://population.un.org/wup/downloads</w:t>
        </w:r>
      </w:hyperlink>
    </w:p>
    <w:p w14:paraId="3C6CF2A2" w14:textId="77777777" w:rsidR="008A37A4" w:rsidRDefault="001C7DB9">
      <w:pPr>
        <w:pStyle w:val="BodyText"/>
      </w:pPr>
      <w:r>
        <w:t xml:space="preserve">Wikidata. (n.d.). Wikidata [Data set]. Retrieved July 19, 2026, from </w:t>
      </w:r>
      <w:hyperlink r:id="rId22">
        <w:r>
          <w:rPr>
            <w:rStyle w:val="Hyperlink"/>
          </w:rPr>
          <w:t>https://www.wikidata.org</w:t>
        </w:r>
      </w:hyperlink>
    </w:p>
    <w:p w14:paraId="3AA511CF" w14:textId="77777777" w:rsidR="008A37A4" w:rsidRDefault="001C7DB9">
      <w:pPr>
        <w:pStyle w:val="BodyText"/>
      </w:pPr>
      <w:r>
        <w:t xml:space="preserve">World Bank. (n.d.). GDP per capita (current US$) (Indicator NY.GDP.PCAP.CD) [Data set]. World Bank Open Data. Retrieved July 19, 2026, from </w:t>
      </w:r>
      <w:hyperlink r:id="rId23">
        <w:r>
          <w:rPr>
            <w:rStyle w:val="Hyperlink"/>
          </w:rPr>
          <w:t>https://data.worldbank.org/indicator/NY.GDP.PCAP.CD</w:t>
        </w:r>
      </w:hyperlink>
    </w:p>
    <w:sectPr w:rsidR="008A37A4">
      <w:pgSz w:w="12240" w:h="15840"/>
      <w:pgMar w:top="1134" w:right="1134" w:bottom="1134" w:left="1134" w:header="0" w:footer="0" w:gutter="0"/>
      <w:cols w:space="720"/>
      <w:formProt w:val="0"/>
      <w:docGrid w:linePitch="10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erif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Noto Sans CJK SC">
    <w:panose1 w:val="00000000000000000000"/>
    <w:charset w:val="00"/>
    <w:family w:val="roman"/>
    <w:notTrueType/>
    <w:pitch w:val="default"/>
  </w:font>
  <w:font w:name="OpenSymbol">
    <w:altName w:val="Segoe UI Symbol"/>
    <w:charset w:val="02"/>
    <w:family w:val="roman"/>
    <w:pitch w:val="variable"/>
  </w:font>
  <w:font w:name="Arial">
    <w:panose1 w:val="020B0604020202020204"/>
    <w:charset w:val="00"/>
    <w:family w:val="swiss"/>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00B55"/>
    <w:multiLevelType w:val="multilevel"/>
    <w:tmpl w:val="FDD44596"/>
    <w:lvl w:ilvl="0">
      <w:start w:val="1"/>
      <w:numFmt w:val="none"/>
      <w:pStyle w:val="Heading1"/>
      <w:suff w:val="nothing"/>
      <w:lvlText w:val=""/>
      <w:lvlJc w:val="left"/>
      <w:pPr>
        <w:tabs>
          <w:tab w:val="num" w:pos="0"/>
        </w:tabs>
        <w:ind w:left="0" w:firstLine="0"/>
      </w:pPr>
    </w:lvl>
    <w:lvl w:ilvl="1">
      <w:start w:val="1"/>
      <w:numFmt w:val="none"/>
      <w:pStyle w:val="Heading2"/>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15D4255A"/>
    <w:multiLevelType w:val="multilevel"/>
    <w:tmpl w:val="2FEAA95A"/>
    <w:lvl w:ilvl="0">
      <w:start w:val="1"/>
      <w:numFmt w:val="decimal"/>
      <w:lvlText w:val="%1."/>
      <w:lvlJc w:val="left"/>
      <w:pPr>
        <w:tabs>
          <w:tab w:val="num" w:pos="0"/>
        </w:tabs>
        <w:ind w:left="720" w:hanging="360"/>
      </w:pPr>
    </w:lvl>
    <w:lvl w:ilvl="1">
      <w:start w:val="1"/>
      <w:numFmt w:val="decimal"/>
      <w:lvlText w:val="%2."/>
      <w:lvlJc w:val="left"/>
      <w:pPr>
        <w:tabs>
          <w:tab w:val="num" w:pos="0"/>
        </w:tabs>
        <w:ind w:left="1440" w:hanging="360"/>
      </w:pPr>
    </w:lvl>
    <w:lvl w:ilvl="2">
      <w:start w:val="1"/>
      <w:numFmt w:val="decimal"/>
      <w:lvlText w:val="%3."/>
      <w:lvlJc w:val="left"/>
      <w:pPr>
        <w:tabs>
          <w:tab w:val="num" w:pos="0"/>
        </w:tabs>
        <w:ind w:left="2160" w:hanging="360"/>
      </w:pPr>
    </w:lvl>
    <w:lvl w:ilvl="3">
      <w:start w:val="1"/>
      <w:numFmt w:val="decimal"/>
      <w:lvlText w:val="%4."/>
      <w:lvlJc w:val="left"/>
      <w:pPr>
        <w:tabs>
          <w:tab w:val="num" w:pos="0"/>
        </w:tabs>
        <w:ind w:left="2880" w:hanging="360"/>
      </w:pPr>
    </w:lvl>
    <w:lvl w:ilvl="4">
      <w:start w:val="1"/>
      <w:numFmt w:val="decimal"/>
      <w:lvlText w:val="%5."/>
      <w:lvlJc w:val="left"/>
      <w:pPr>
        <w:tabs>
          <w:tab w:val="num" w:pos="0"/>
        </w:tabs>
        <w:ind w:left="3600" w:hanging="360"/>
      </w:pPr>
    </w:lvl>
    <w:lvl w:ilvl="5">
      <w:start w:val="1"/>
      <w:numFmt w:val="decimal"/>
      <w:lvlText w:val="%6."/>
      <w:lvlJc w:val="left"/>
      <w:pPr>
        <w:tabs>
          <w:tab w:val="num" w:pos="0"/>
        </w:tabs>
        <w:ind w:left="4320" w:hanging="360"/>
      </w:pPr>
    </w:lvl>
    <w:lvl w:ilvl="6">
      <w:start w:val="1"/>
      <w:numFmt w:val="decimal"/>
      <w:lvlText w:val="%7."/>
      <w:lvlJc w:val="left"/>
      <w:pPr>
        <w:tabs>
          <w:tab w:val="num" w:pos="0"/>
        </w:tabs>
        <w:ind w:left="5040" w:hanging="360"/>
      </w:pPr>
    </w:lvl>
    <w:lvl w:ilvl="7">
      <w:start w:val="1"/>
      <w:numFmt w:val="decimal"/>
      <w:lvlText w:val="%8."/>
      <w:lvlJc w:val="left"/>
      <w:pPr>
        <w:tabs>
          <w:tab w:val="num" w:pos="0"/>
        </w:tabs>
        <w:ind w:left="5760" w:hanging="360"/>
      </w:pPr>
    </w:lvl>
    <w:lvl w:ilvl="8">
      <w:start w:val="1"/>
      <w:numFmt w:val="decimal"/>
      <w:lvlText w:val="%9."/>
      <w:lvlJc w:val="left"/>
      <w:pPr>
        <w:tabs>
          <w:tab w:val="num" w:pos="0"/>
        </w:tabs>
        <w:ind w:left="6480" w:hanging="360"/>
      </w:pPr>
    </w:lvl>
  </w:abstractNum>
  <w:abstractNum w:abstractNumId="2" w15:restartNumberingAfterBreak="0">
    <w:nsid w:val="18EF38A2"/>
    <w:multiLevelType w:val="multilevel"/>
    <w:tmpl w:val="A61C0638"/>
    <w:lvl w:ilvl="0">
      <w:start w:val="1"/>
      <w:numFmt w:val="decimal"/>
      <w:lvlText w:val="%1."/>
      <w:lvlJc w:val="left"/>
      <w:pPr>
        <w:tabs>
          <w:tab w:val="num" w:pos="0"/>
        </w:tabs>
        <w:ind w:left="720" w:hanging="360"/>
      </w:pPr>
    </w:lvl>
    <w:lvl w:ilvl="1">
      <w:start w:val="1"/>
      <w:numFmt w:val="decimal"/>
      <w:lvlText w:val="%2."/>
      <w:lvlJc w:val="left"/>
      <w:pPr>
        <w:tabs>
          <w:tab w:val="num" w:pos="0"/>
        </w:tabs>
        <w:ind w:left="1440" w:hanging="360"/>
      </w:pPr>
    </w:lvl>
    <w:lvl w:ilvl="2">
      <w:start w:val="1"/>
      <w:numFmt w:val="decimal"/>
      <w:lvlText w:val="%3."/>
      <w:lvlJc w:val="left"/>
      <w:pPr>
        <w:tabs>
          <w:tab w:val="num" w:pos="0"/>
        </w:tabs>
        <w:ind w:left="2160" w:hanging="360"/>
      </w:pPr>
    </w:lvl>
    <w:lvl w:ilvl="3">
      <w:start w:val="1"/>
      <w:numFmt w:val="decimal"/>
      <w:lvlText w:val="%4."/>
      <w:lvlJc w:val="left"/>
      <w:pPr>
        <w:tabs>
          <w:tab w:val="num" w:pos="0"/>
        </w:tabs>
        <w:ind w:left="2880" w:hanging="360"/>
      </w:pPr>
    </w:lvl>
    <w:lvl w:ilvl="4">
      <w:start w:val="1"/>
      <w:numFmt w:val="decimal"/>
      <w:lvlText w:val="%5."/>
      <w:lvlJc w:val="left"/>
      <w:pPr>
        <w:tabs>
          <w:tab w:val="num" w:pos="0"/>
        </w:tabs>
        <w:ind w:left="3600" w:hanging="360"/>
      </w:pPr>
    </w:lvl>
    <w:lvl w:ilvl="5">
      <w:start w:val="1"/>
      <w:numFmt w:val="decimal"/>
      <w:lvlText w:val="%6."/>
      <w:lvlJc w:val="left"/>
      <w:pPr>
        <w:tabs>
          <w:tab w:val="num" w:pos="0"/>
        </w:tabs>
        <w:ind w:left="4320" w:hanging="360"/>
      </w:pPr>
    </w:lvl>
    <w:lvl w:ilvl="6">
      <w:start w:val="1"/>
      <w:numFmt w:val="decimal"/>
      <w:lvlText w:val="%7."/>
      <w:lvlJc w:val="left"/>
      <w:pPr>
        <w:tabs>
          <w:tab w:val="num" w:pos="0"/>
        </w:tabs>
        <w:ind w:left="5040" w:hanging="360"/>
      </w:pPr>
    </w:lvl>
    <w:lvl w:ilvl="7">
      <w:start w:val="1"/>
      <w:numFmt w:val="decimal"/>
      <w:lvlText w:val="%8."/>
      <w:lvlJc w:val="left"/>
      <w:pPr>
        <w:tabs>
          <w:tab w:val="num" w:pos="0"/>
        </w:tabs>
        <w:ind w:left="5760" w:hanging="360"/>
      </w:pPr>
    </w:lvl>
    <w:lvl w:ilvl="8">
      <w:start w:val="1"/>
      <w:numFmt w:val="decimal"/>
      <w:lvlText w:val="%9."/>
      <w:lvlJc w:val="left"/>
      <w:pPr>
        <w:tabs>
          <w:tab w:val="num" w:pos="0"/>
        </w:tabs>
        <w:ind w:left="6480" w:hanging="360"/>
      </w:pPr>
    </w:lvl>
  </w:abstractNum>
  <w:abstractNum w:abstractNumId="3" w15:restartNumberingAfterBreak="0">
    <w:nsid w:val="6DC20D8A"/>
    <w:multiLevelType w:val="multilevel"/>
    <w:tmpl w:val="140431A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4" w15:restartNumberingAfterBreak="0">
    <w:nsid w:val="761C5B1E"/>
    <w:multiLevelType w:val="multilevel"/>
    <w:tmpl w:val="B8F077BC"/>
    <w:lvl w:ilvl="0">
      <w:numFmt w:val="bullet"/>
      <w:lvlText w:val=""/>
      <w:lvlJc w:val="left"/>
      <w:pPr>
        <w:tabs>
          <w:tab w:val="num" w:pos="0"/>
        </w:tabs>
        <w:ind w:left="720" w:hanging="360"/>
      </w:pPr>
      <w:rPr>
        <w:rFonts w:ascii="Symbol" w:hAnsi="Symbol" w:cs="Symbol" w:hint="default"/>
      </w:rPr>
    </w:lvl>
    <w:lvl w:ilvl="1">
      <w:numFmt w:val="bullet"/>
      <w:lvlText w:val="o"/>
      <w:lvlJc w:val="left"/>
      <w:pPr>
        <w:tabs>
          <w:tab w:val="num" w:pos="0"/>
        </w:tabs>
        <w:ind w:left="1440" w:hanging="360"/>
      </w:pPr>
      <w:rPr>
        <w:rFonts w:ascii="Courier New" w:hAnsi="Courier New" w:cs="Courier New" w:hint="default"/>
      </w:rPr>
    </w:lvl>
    <w:lvl w:ilvl="2">
      <w:numFmt w:val="bullet"/>
      <w:lvlText w:val=""/>
      <w:lvlJc w:val="left"/>
      <w:pPr>
        <w:tabs>
          <w:tab w:val="num" w:pos="0"/>
        </w:tabs>
        <w:ind w:left="2160" w:hanging="360"/>
      </w:pPr>
      <w:rPr>
        <w:rFonts w:ascii="Wingdings" w:hAnsi="Wingdings" w:cs="Wingdings" w:hint="default"/>
      </w:rPr>
    </w:lvl>
    <w:lvl w:ilvl="3">
      <w:numFmt w:val="bullet"/>
      <w:lvlText w:val=""/>
      <w:lvlJc w:val="left"/>
      <w:pPr>
        <w:tabs>
          <w:tab w:val="num" w:pos="0"/>
        </w:tabs>
        <w:ind w:left="2880" w:hanging="360"/>
      </w:pPr>
      <w:rPr>
        <w:rFonts w:ascii="Symbol" w:hAnsi="Symbol" w:cs="Symbol" w:hint="default"/>
      </w:rPr>
    </w:lvl>
    <w:lvl w:ilvl="4">
      <w:numFmt w:val="bullet"/>
      <w:lvlText w:val="o"/>
      <w:lvlJc w:val="left"/>
      <w:pPr>
        <w:tabs>
          <w:tab w:val="num" w:pos="0"/>
        </w:tabs>
        <w:ind w:left="3600" w:hanging="360"/>
      </w:pPr>
      <w:rPr>
        <w:rFonts w:ascii="Courier New" w:hAnsi="Courier New" w:cs="Courier New" w:hint="default"/>
      </w:rPr>
    </w:lvl>
    <w:lvl w:ilvl="5">
      <w:numFmt w:val="bullet"/>
      <w:lvlText w:val=""/>
      <w:lvlJc w:val="left"/>
      <w:pPr>
        <w:tabs>
          <w:tab w:val="num" w:pos="0"/>
        </w:tabs>
        <w:ind w:left="4320" w:hanging="360"/>
      </w:pPr>
      <w:rPr>
        <w:rFonts w:ascii="Wingdings" w:hAnsi="Wingdings" w:cs="Wingdings" w:hint="default"/>
      </w:rPr>
    </w:lvl>
    <w:lvl w:ilvl="6">
      <w:numFmt w:val="bullet"/>
      <w:lvlText w:val=""/>
      <w:lvlJc w:val="left"/>
      <w:pPr>
        <w:tabs>
          <w:tab w:val="num" w:pos="0"/>
        </w:tabs>
        <w:ind w:left="5040" w:hanging="360"/>
      </w:pPr>
      <w:rPr>
        <w:rFonts w:ascii="Symbol" w:hAnsi="Symbol" w:cs="Symbol" w:hint="default"/>
      </w:rPr>
    </w:lvl>
    <w:lvl w:ilvl="7">
      <w:numFmt w:val="bullet"/>
      <w:lvlText w:val="o"/>
      <w:lvlJc w:val="left"/>
      <w:pPr>
        <w:tabs>
          <w:tab w:val="num" w:pos="0"/>
        </w:tabs>
        <w:ind w:left="5760" w:hanging="360"/>
      </w:pPr>
      <w:rPr>
        <w:rFonts w:ascii="Courier New" w:hAnsi="Courier New" w:cs="Courier New" w:hint="default"/>
      </w:rPr>
    </w:lvl>
    <w:lvl w:ilvl="8">
      <w:numFmt w:val="bullet"/>
      <w:lvlText w:val=""/>
      <w:lvlJc w:val="left"/>
      <w:pPr>
        <w:tabs>
          <w:tab w:val="num" w:pos="0"/>
        </w:tabs>
        <w:ind w:left="6480" w:hanging="360"/>
      </w:pPr>
      <w:rPr>
        <w:rFonts w:ascii="Wingdings" w:hAnsi="Wingdings" w:cs="Wingdings" w:hint="default"/>
      </w:rPr>
    </w:lvl>
  </w:abstractNum>
  <w:num w:numId="1" w16cid:durableId="1352294016">
    <w:abstractNumId w:val="0"/>
  </w:num>
  <w:num w:numId="2" w16cid:durableId="1034305880">
    <w:abstractNumId w:val="4"/>
  </w:num>
  <w:num w:numId="3" w16cid:durableId="1269005761">
    <w:abstractNumId w:val="2"/>
  </w:num>
  <w:num w:numId="4" w16cid:durableId="587083710">
    <w:abstractNumId w:val="1"/>
  </w:num>
  <w:num w:numId="5" w16cid:durableId="1968730322">
    <w:abstractNumId w:val="3"/>
  </w:num>
  <w:num w:numId="6" w16cid:durableId="101503207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proofState w:spelling="clean" w:grammar="clean"/>
  <w:defaultTabStop w:val="709"/>
  <w:autoHyphenation/>
  <w:hyphenationZone w:val="0"/>
  <w:characterSpacingControl w:val="doNotCompress"/>
  <w:compat>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allowHyphenationAtTrackBottom" w:uri="http://schemas.microsoft.com/office/word" w:val="1"/>
    <w:compatSetting w:name="useWord2013TrackBottomHyphenation" w:uri="http://schemas.microsoft.com/office/word" w:val="1"/>
  </w:compat>
  <w:rsids>
    <w:rsidRoot w:val="008A37A4"/>
    <w:rsid w:val="001C7DB9"/>
    <w:rsid w:val="002272E0"/>
    <w:rsid w:val="006949DB"/>
    <w:rsid w:val="007C3AD4"/>
    <w:rsid w:val="008832D9"/>
    <w:rsid w:val="008A37A4"/>
    <w:rsid w:val="00A12EC0"/>
    <w:rsid w:val="00A94FCB"/>
    <w:rsid w:val="00CF7C0D"/>
    <w:rsid w:val="00DC0F11"/>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AF2C42"/>
  <w15:docId w15:val="{76FD64EA-9BDE-4D37-87F0-25EEFC108D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Noto Serif CJK SC" w:hAnsi="Times New Roman" w:cs="Noto Sans Devanagari"/>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spacing w:line="480" w:lineRule="auto"/>
    </w:pPr>
  </w:style>
  <w:style w:type="paragraph" w:styleId="Heading1">
    <w:name w:val="heading 1"/>
    <w:basedOn w:val="Heading"/>
    <w:next w:val="BodyText"/>
    <w:uiPriority w:val="9"/>
    <w:qFormat/>
    <w:pPr>
      <w:numPr>
        <w:numId w:val="1"/>
      </w:numPr>
      <w:outlineLvl w:val="0"/>
    </w:pPr>
    <w:rPr>
      <w:b/>
      <w:bCs/>
      <w:sz w:val="36"/>
      <w:szCs w:val="36"/>
    </w:rPr>
  </w:style>
  <w:style w:type="paragraph" w:styleId="Heading2">
    <w:name w:val="heading 2"/>
    <w:basedOn w:val="Heading"/>
    <w:next w:val="BodyText"/>
    <w:uiPriority w:val="9"/>
    <w:unhideWhenUsed/>
    <w:qFormat/>
    <w:pPr>
      <w:numPr>
        <w:ilvl w:val="1"/>
        <w:numId w:val="1"/>
      </w:numPr>
      <w:spacing w:before="200"/>
      <w:outlineLvl w:val="1"/>
    </w:pPr>
    <w:rPr>
      <w:b/>
      <w:bCs/>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ulletsuser">
    <w:name w:val="Bullets (user)"/>
    <w:qFormat/>
    <w:rPr>
      <w:rFonts w:ascii="OpenSymbol" w:eastAsia="OpenSymbol" w:hAnsi="OpenSymbol" w:cs="OpenSymbol"/>
    </w:rPr>
  </w:style>
  <w:style w:type="character" w:customStyle="1" w:styleId="NumberingSymbols">
    <w:name w:val="Numbering Symbols"/>
    <w:qFormat/>
  </w:style>
  <w:style w:type="character" w:styleId="Hyperlink">
    <w:name w:val="Hyperlink"/>
    <w:rPr>
      <w:color w:val="000080"/>
      <w:u w:val="single"/>
    </w:rPr>
  </w:style>
  <w:style w:type="character" w:customStyle="1" w:styleId="KeywordTok">
    <w:name w:val="KeywordTok"/>
    <w:qFormat/>
    <w:rPr>
      <w:b/>
      <w:color w:val="007020"/>
    </w:rPr>
  </w:style>
  <w:style w:type="character" w:customStyle="1" w:styleId="DataTypeTok">
    <w:name w:val="DataTypeTok"/>
    <w:qFormat/>
    <w:rPr>
      <w:color w:val="902000"/>
    </w:rPr>
  </w:style>
  <w:style w:type="character" w:customStyle="1" w:styleId="DecValTok">
    <w:name w:val="DecValTok"/>
    <w:qFormat/>
    <w:rPr>
      <w:color w:val="40A070"/>
    </w:rPr>
  </w:style>
  <w:style w:type="character" w:customStyle="1" w:styleId="BaseNTok">
    <w:name w:val="BaseNTok"/>
    <w:qFormat/>
    <w:rPr>
      <w:color w:val="40A070"/>
    </w:rPr>
  </w:style>
  <w:style w:type="character" w:customStyle="1" w:styleId="FloatTok">
    <w:name w:val="FloatTok"/>
    <w:qFormat/>
    <w:rPr>
      <w:color w:val="40A070"/>
    </w:rPr>
  </w:style>
  <w:style w:type="character" w:customStyle="1" w:styleId="ConstantTok">
    <w:name w:val="ConstantTok"/>
    <w:qFormat/>
    <w:rPr>
      <w:color w:val="880000"/>
    </w:rPr>
  </w:style>
  <w:style w:type="character" w:customStyle="1" w:styleId="CharTok">
    <w:name w:val="CharTok"/>
    <w:qFormat/>
    <w:rPr>
      <w:color w:val="4070A0"/>
    </w:rPr>
  </w:style>
  <w:style w:type="character" w:customStyle="1" w:styleId="SpecialCharTok">
    <w:name w:val="SpecialCharTok"/>
    <w:qFormat/>
    <w:rPr>
      <w:color w:val="4070A0"/>
    </w:rPr>
  </w:style>
  <w:style w:type="character" w:customStyle="1" w:styleId="StringTok">
    <w:name w:val="StringTok"/>
    <w:qFormat/>
    <w:rPr>
      <w:color w:val="4070A0"/>
    </w:rPr>
  </w:style>
  <w:style w:type="character" w:customStyle="1" w:styleId="VerbatimStringTok">
    <w:name w:val="VerbatimStringTok"/>
    <w:qFormat/>
    <w:rPr>
      <w:color w:val="4070A0"/>
    </w:rPr>
  </w:style>
  <w:style w:type="character" w:customStyle="1" w:styleId="SpecialStringTok">
    <w:name w:val="SpecialStringTok"/>
    <w:qFormat/>
    <w:rPr>
      <w:color w:val="BB6688"/>
    </w:rPr>
  </w:style>
  <w:style w:type="character" w:customStyle="1" w:styleId="ImportTok">
    <w:name w:val="ImportTok"/>
    <w:qFormat/>
    <w:rPr>
      <w:b/>
      <w:color w:val="008000"/>
    </w:rPr>
  </w:style>
  <w:style w:type="character" w:customStyle="1" w:styleId="CommentTok">
    <w:name w:val="CommentTok"/>
    <w:qFormat/>
    <w:rPr>
      <w:i/>
      <w:color w:val="60A0B0"/>
    </w:rPr>
  </w:style>
  <w:style w:type="character" w:customStyle="1" w:styleId="DocumentationTok">
    <w:name w:val="DocumentationTok"/>
    <w:qFormat/>
    <w:rPr>
      <w:i/>
      <w:color w:val="BA2121"/>
    </w:rPr>
  </w:style>
  <w:style w:type="character" w:customStyle="1" w:styleId="AnnotationTok">
    <w:name w:val="AnnotationTok"/>
    <w:qFormat/>
    <w:rPr>
      <w:b/>
      <w:i/>
      <w:color w:val="60A0B0"/>
    </w:rPr>
  </w:style>
  <w:style w:type="character" w:customStyle="1" w:styleId="CommentVarTok">
    <w:name w:val="CommentVarTok"/>
    <w:qFormat/>
    <w:rPr>
      <w:b/>
      <w:i/>
      <w:color w:val="60A0B0"/>
    </w:rPr>
  </w:style>
  <w:style w:type="character" w:customStyle="1" w:styleId="OtherTok">
    <w:name w:val="OtherTok"/>
    <w:qFormat/>
    <w:rPr>
      <w:color w:val="007020"/>
    </w:rPr>
  </w:style>
  <w:style w:type="character" w:customStyle="1" w:styleId="FunctionTok">
    <w:name w:val="FunctionTok"/>
    <w:qFormat/>
    <w:rPr>
      <w:color w:val="06287E"/>
    </w:rPr>
  </w:style>
  <w:style w:type="character" w:customStyle="1" w:styleId="VariableTok">
    <w:name w:val="VariableTok"/>
    <w:qFormat/>
    <w:rPr>
      <w:color w:val="19177C"/>
    </w:rPr>
  </w:style>
  <w:style w:type="character" w:customStyle="1" w:styleId="ControlFlowTok">
    <w:name w:val="ControlFlowTok"/>
    <w:qFormat/>
    <w:rPr>
      <w:b/>
      <w:color w:val="007020"/>
    </w:rPr>
  </w:style>
  <w:style w:type="character" w:customStyle="1" w:styleId="OperatorTok">
    <w:name w:val="OperatorTok"/>
    <w:qFormat/>
    <w:rPr>
      <w:color w:val="666666"/>
    </w:rPr>
  </w:style>
  <w:style w:type="character" w:customStyle="1" w:styleId="BuiltInTok">
    <w:name w:val="BuiltInTok"/>
    <w:qFormat/>
    <w:rPr>
      <w:color w:val="008000"/>
    </w:rPr>
  </w:style>
  <w:style w:type="character" w:customStyle="1" w:styleId="ExtensionTok">
    <w:name w:val="ExtensionTok"/>
    <w:qFormat/>
  </w:style>
  <w:style w:type="character" w:customStyle="1" w:styleId="PreprocessorTok">
    <w:name w:val="PreprocessorTok"/>
    <w:qFormat/>
    <w:rPr>
      <w:color w:val="BC7A00"/>
    </w:rPr>
  </w:style>
  <w:style w:type="character" w:customStyle="1" w:styleId="AttributeTok">
    <w:name w:val="AttributeTok"/>
    <w:qFormat/>
    <w:rPr>
      <w:color w:val="7D9029"/>
    </w:rPr>
  </w:style>
  <w:style w:type="character" w:customStyle="1" w:styleId="RegionMarkerTok">
    <w:name w:val="RegionMarkerTok"/>
    <w:qFormat/>
  </w:style>
  <w:style w:type="character" w:customStyle="1" w:styleId="InformationTok">
    <w:name w:val="InformationTok"/>
    <w:qFormat/>
    <w:rPr>
      <w:b/>
      <w:i/>
      <w:color w:val="60A0B0"/>
    </w:rPr>
  </w:style>
  <w:style w:type="character" w:customStyle="1" w:styleId="WarningTok">
    <w:name w:val="WarningTok"/>
    <w:qFormat/>
    <w:rPr>
      <w:b/>
      <w:i/>
      <w:color w:val="60A0B0"/>
    </w:rPr>
  </w:style>
  <w:style w:type="character" w:customStyle="1" w:styleId="AlertTok">
    <w:name w:val="AlertTok"/>
    <w:qFormat/>
    <w:rPr>
      <w:b/>
      <w:color w:val="FF0000"/>
    </w:rPr>
  </w:style>
  <w:style w:type="character" w:customStyle="1" w:styleId="ErrorTok">
    <w:name w:val="ErrorTok"/>
    <w:qFormat/>
    <w:rPr>
      <w:b/>
      <w:color w:val="FF0000"/>
    </w:rPr>
  </w:style>
  <w:style w:type="character" w:customStyle="1" w:styleId="NormalTok">
    <w:name w:val="NormalTok"/>
    <w:qFormat/>
  </w:style>
  <w:style w:type="paragraph" w:customStyle="1" w:styleId="Heading">
    <w:name w:val="Heading"/>
    <w:basedOn w:val="Normal"/>
    <w:next w:val="BodyText"/>
    <w:qFormat/>
    <w:pPr>
      <w:keepNext/>
      <w:spacing w:before="240" w:after="120"/>
    </w:pPr>
    <w:rPr>
      <w:rFonts w:eastAsia="Noto Sans CJK SC"/>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SourceCode">
    <w:name w:val="Source Code"/>
    <w:basedOn w:val="Normal"/>
    <w:qFormat/>
  </w:style>
  <w:style w:type="paragraph" w:styleId="Title">
    <w:name w:val="Title"/>
    <w:basedOn w:val="Normal"/>
    <w:next w:val="Normal"/>
    <w:link w:val="TitleChar"/>
    <w:uiPriority w:val="10"/>
    <w:qFormat/>
    <w:rsid w:val="00CF7C0D"/>
    <w:pPr>
      <w:spacing w:line="240" w:lineRule="auto"/>
      <w:contextualSpacing/>
    </w:pPr>
    <w:rPr>
      <w:rFonts w:asciiTheme="majorHAnsi" w:eastAsiaTheme="majorEastAsia" w:hAnsiTheme="majorHAnsi" w:cs="Mangal"/>
      <w:spacing w:val="-10"/>
      <w:kern w:val="28"/>
      <w:sz w:val="56"/>
      <w:szCs w:val="50"/>
    </w:rPr>
  </w:style>
  <w:style w:type="character" w:customStyle="1" w:styleId="TitleChar">
    <w:name w:val="Title Char"/>
    <w:basedOn w:val="DefaultParagraphFont"/>
    <w:link w:val="Title"/>
    <w:uiPriority w:val="10"/>
    <w:rsid w:val="00CF7C0D"/>
    <w:rPr>
      <w:rFonts w:asciiTheme="majorHAnsi" w:eastAsiaTheme="majorEastAsia" w:hAnsiTheme="majorHAnsi" w:cs="Mangal"/>
      <w:spacing w:val="-10"/>
      <w:kern w:val="28"/>
      <w:sz w:val="56"/>
      <w:szCs w:val="5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ata.worldbank.org/indicator/NY.GDP.PCAP.CD" TargetMode="External"/><Relationship Id="rId13" Type="http://schemas.openxmlformats.org/officeDocument/2006/relationships/hyperlink" Target="https://doi.org/10.1080/02614367.2014.994550" TargetMode="External"/><Relationship Id="rId18" Type="http://schemas.openxmlformats.org/officeDocument/2006/relationships/hyperlink" Target="https://stillmed.olympics.com/media/Documents/Olympic-Games/Olympic-legacy/Full-report-venues-post-games-use.pdf" TargetMode="External"/><Relationship Id="rId3" Type="http://schemas.openxmlformats.org/officeDocument/2006/relationships/settings" Target="settings.xml"/><Relationship Id="rId21" Type="http://schemas.openxmlformats.org/officeDocument/2006/relationships/hyperlink" Target="https://population.un.org/wup/downloads" TargetMode="External"/><Relationship Id="rId7" Type="http://schemas.openxmlformats.org/officeDocument/2006/relationships/hyperlink" Target="https://stillmed.olympics.com/media/Documents/Olympic-Games/Olympic-legacy/Full-report-venues-post-games-use.pdf" TargetMode="External"/><Relationship Id="rId12" Type="http://schemas.openxmlformats.org/officeDocument/2006/relationships/hyperlink" Target="https://github.com/Smoothspinner/sports-urbanism-capstone" TargetMode="External"/><Relationship Id="rId17" Type="http://schemas.openxmlformats.org/officeDocument/2006/relationships/hyperlink" Target="https://arxiv.org/abs/2406.01714"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arxiv.org/abs/1607.04484" TargetMode="External"/><Relationship Id="rId20" Type="http://schemas.openxmlformats.org/officeDocument/2006/relationships/hyperlink" Target="https://www.transparency.org/en/cpi" TargetMode="External"/><Relationship Id="rId1" Type="http://schemas.openxmlformats.org/officeDocument/2006/relationships/numbering" Target="numbering.xml"/><Relationship Id="rId6" Type="http://schemas.openxmlformats.org/officeDocument/2006/relationships/hyperlink" Target="https://github.com/jfjelstul/worldcup" TargetMode="External"/><Relationship Id="rId11" Type="http://schemas.openxmlformats.org/officeDocument/2006/relationships/hyperlink" Target="https://www.wikidata.org/" TargetMode="External"/><Relationship Id="rId24" Type="http://schemas.openxmlformats.org/officeDocument/2006/relationships/fontTable" Target="fontTable.xml"/><Relationship Id="rId5" Type="http://schemas.openxmlformats.org/officeDocument/2006/relationships/hyperlink" Target="https://github.com/Smoothspinner/sports-urbanism-capstone" TargetMode="External"/><Relationship Id="rId15" Type="http://schemas.openxmlformats.org/officeDocument/2006/relationships/hyperlink" Target="https://github.com/jfjelstul/worldcup" TargetMode="External"/><Relationship Id="rId23" Type="http://schemas.openxmlformats.org/officeDocument/2006/relationships/hyperlink" Target="https://data.worldbank.org/indicator/NY.GDP.PCAP.CD" TargetMode="External"/><Relationship Id="rId10" Type="http://schemas.openxmlformats.org/officeDocument/2006/relationships/hyperlink" Target="https://population.un.org/wup/downloads" TargetMode="External"/><Relationship Id="rId19" Type="http://schemas.openxmlformats.org/officeDocument/2006/relationships/hyperlink" Target="https://doi.org/10.1080/01944363.2015.1038292" TargetMode="External"/><Relationship Id="rId4" Type="http://schemas.openxmlformats.org/officeDocument/2006/relationships/webSettings" Target="webSettings.xml"/><Relationship Id="rId9" Type="http://schemas.openxmlformats.org/officeDocument/2006/relationships/hyperlink" Target="https://www.transparency.org/en/cpi" TargetMode="External"/><Relationship Id="rId14" Type="http://schemas.openxmlformats.org/officeDocument/2006/relationships/hyperlink" Target="https://doi.org/10.1080/02665433.2019.1633948" TargetMode="External"/><Relationship Id="rId22" Type="http://schemas.openxmlformats.org/officeDocument/2006/relationships/hyperlink" Target="https://www.wikidata.org/" TargetMode="Externa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12</Pages>
  <Words>3965</Words>
  <Characters>22607</Characters>
  <Application>Microsoft Office Word</Application>
  <DocSecurity>0</DocSecurity>
  <Lines>188</Lines>
  <Paragraphs>53</Paragraphs>
  <ScaleCrop>false</ScaleCrop>
  <Company/>
  <LinksUpToDate>false</LinksUpToDate>
  <CharactersWithSpaces>26519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Martin Gotora</cp:lastModifiedBy>
  <cp:revision>11</cp:revision>
  <dcterms:created xsi:type="dcterms:W3CDTF">2026-07-19T20:38:00Z</dcterms:created>
  <dcterms:modified xsi:type="dcterms:W3CDTF">2026-07-21T17:18:00Z</dcterms:modified>
  <dc:language>en-US</dc:language>
</cp:coreProperties>
</file>