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0.png" ContentType="image/png"/>
  <Override PartName="/word/media/rId23.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bf301d9c4ea73d4d35fc2d535c84f9c9138ccd"/>
    <w:p>
      <w:pPr>
        <w:pStyle w:val="Heading1"/>
      </w:pPr>
      <w:r>
        <w:t xml:space="preserve">Predicting White Elephant Risk in Olympic and World Cup Venues Using Machine Learning</w:t>
      </w:r>
    </w:p>
    <w:p>
      <w:pPr>
        <w:pStyle w:val="FirstParagraph"/>
      </w:pPr>
      <w:r>
        <w:t xml:space="preserve">Exploratory Data Analysis Report. Sprint 3. DSE 6311 Capstone.</w:t>
      </w:r>
    </w:p>
    <w:p>
      <w:pPr>
        <w:pStyle w:val="BodyText"/>
      </w:pPr>
      <w:r>
        <w:rPr>
          <w:b/>
          <w:bCs/>
        </w:rPr>
        <w:t xml:space="preserve">Team Gamma</w:t>
      </w:r>
    </w:p>
    <w:p>
      <w:pPr>
        <w:pStyle w:val="Compact"/>
        <w:numPr>
          <w:ilvl w:val="0"/>
          <w:numId w:val="1001"/>
        </w:numPr>
      </w:pPr>
      <w:r>
        <w:t xml:space="preserve">Brian Wrenn (Team Lead)</w:t>
      </w:r>
    </w:p>
    <w:p>
      <w:pPr>
        <w:pStyle w:val="Compact"/>
        <w:numPr>
          <w:ilvl w:val="0"/>
          <w:numId w:val="1001"/>
        </w:numPr>
      </w:pPr>
      <w:r>
        <w:t xml:space="preserve">Martin Gotora (Communications)</w:t>
      </w:r>
    </w:p>
    <w:p>
      <w:pPr>
        <w:pStyle w:val="Compact"/>
        <w:numPr>
          <w:ilvl w:val="0"/>
          <w:numId w:val="1001"/>
        </w:numPr>
      </w:pPr>
      <w:r>
        <w:t xml:space="preserve">Jonathan Layne (Documentation)</w:t>
      </w:r>
    </w:p>
    <w:p>
      <w:pPr>
        <w:pStyle w:val="FirstParagraph"/>
      </w:pPr>
      <w:r>
        <w:t xml:space="preserve">GitHub repository:</w:t>
      </w:r>
      <w:r>
        <w:t xml:space="preserve"> </w:t>
      </w:r>
      <w:r>
        <w:t xml:space="preserve">https://github.com/Smoothspinner/sports-urbanism-capstone</w:t>
      </w:r>
    </w:p>
    <w:bookmarkEnd w:id="9"/>
    <w:bookmarkStart w:id="10" w:name="background-and-question"/>
    <w:p>
      <w:pPr>
        <w:pStyle w:val="Heading1"/>
      </w:pPr>
      <w:r>
        <w:t xml:space="preserve">Background and Question</w:t>
      </w:r>
    </w:p>
    <w:p>
      <w:pPr>
        <w:pStyle w:val="FirstParagraph"/>
      </w:pPr>
      <w:r>
        <w:t xml:space="preserve">Some Olympic and World Cup venues go unused after the event:</w:t>
      </w:r>
      <w:r>
        <w:t xml:space="preserve"> </w:t>
      </w:r>
      <w:r>
        <w:t xml:space="preserve">“white</w:t>
      </w:r>
      <w:r>
        <w:t xml:space="preserve"> </w:t>
      </w:r>
      <w:r>
        <w:t xml:space="preserve">elephants.”</w:t>
      </w:r>
      <w:r>
        <w:t xml:space="preserve"> </w:t>
      </w:r>
      <w:r>
        <w:t xml:space="preserve">Prior work explains them after the fact, but we could not</w:t>
      </w:r>
      <w:r>
        <w:t xml:space="preserve"> </w:t>
      </w:r>
      <w:r>
        <w:t xml:space="preserve">find anyone who predicts them before the venue is built. That is our</w:t>
      </w:r>
      <w:r>
        <w:t xml:space="preserve"> </w:t>
      </w:r>
      <w:r>
        <w:t xml:space="preserve">gap. Hosting is expensive and the budget record is poor, and a venue</w:t>
      </w:r>
      <w:r>
        <w:t xml:space="preserve"> </w:t>
      </w:r>
      <w:r>
        <w:t xml:space="preserve">that falls out of use keeps costing the host city money long after the</w:t>
      </w:r>
      <w:r>
        <w:t xml:space="preserve"> </w:t>
      </w:r>
      <w:r>
        <w:t xml:space="preserve">closing ceremony. Our question is whether information a city has at the</w:t>
      </w:r>
      <w:r>
        <w:t xml:space="preserve"> </w:t>
      </w:r>
      <w:r>
        <w:t xml:space="preserve">planning stage, before anything is built, can predict whether a venue</w:t>
      </w:r>
      <w:r>
        <w:t xml:space="preserve"> </w:t>
      </w:r>
      <w:r>
        <w:t xml:space="preserve">stays active or becomes a white elephant. That information is design,</w:t>
      </w:r>
      <w:r>
        <w:t xml:space="preserve"> </w:t>
      </w:r>
      <w:r>
        <w:t xml:space="preserve">capacity, event type, host-country income and corruption, whether the</w:t>
      </w:r>
      <w:r>
        <w:t xml:space="preserve"> </w:t>
      </w:r>
      <w:r>
        <w:t xml:space="preserve">venue is newly built, and how far it sits from the city center. Our</w:t>
      </w:r>
      <w:r>
        <w:t xml:space="preserve"> </w:t>
      </w:r>
      <w:r>
        <w:t xml:space="preserve">hypothesis is that venues that are newly built, single-purpose, and far</w:t>
      </w:r>
      <w:r>
        <w:t xml:space="preserve"> </w:t>
      </w:r>
      <w:r>
        <w:t xml:space="preserve">from the city center become white elephants more often. Our reasoning is</w:t>
      </w:r>
      <w:r>
        <w:t xml:space="preserve"> </w:t>
      </w:r>
      <w:r>
        <w:t xml:space="preserve">that long-term use was never the point of building them. The stakeholder</w:t>
      </w:r>
      <w:r>
        <w:t xml:space="preserve"> </w:t>
      </w:r>
      <w:r>
        <w:t xml:space="preserve">is a host-city bid committee: politically accountable, mostly</w:t>
      </w:r>
      <w:r>
        <w:t xml:space="preserve"> </w:t>
      </w:r>
      <w:r>
        <w:t xml:space="preserve">non-technical, and in need of a model whose reasons they can read and</w:t>
      </w:r>
      <w:r>
        <w:t xml:space="preserve"> </w:t>
      </w:r>
      <w:r>
        <w:t xml:space="preserve">defend. This report is a first look at the data behind that model. It is</w:t>
      </w:r>
      <w:r>
        <w:t xml:space="preserve"> </w:t>
      </w:r>
      <w:r>
        <w:t xml:space="preserve">not the modeling itself, and we have not cleaned the data fully yet on</w:t>
      </w:r>
      <w:r>
        <w:t xml:space="preserve"> </w:t>
      </w:r>
      <w:r>
        <w:t xml:space="preserve">purpose. The point here is to learn what the data looks like. That tells</w:t>
      </w:r>
      <w:r>
        <w:t xml:space="preserve"> </w:t>
      </w:r>
      <w:r>
        <w:t xml:space="preserve">us what cleaning it will need, and where we still need to go and get</w:t>
      </w:r>
      <w:r>
        <w:t xml:space="preserve"> </w:t>
      </w:r>
      <w:r>
        <w:t xml:space="preserve">more data.</w:t>
      </w:r>
    </w:p>
    <w:p>
      <w:pPr>
        <w:pStyle w:val="BodyText"/>
      </w:pPr>
      <w:r>
        <w:t xml:space="preserve">Two points from the feedback on our project proposal shape what we went</w:t>
      </w:r>
      <w:r>
        <w:t xml:space="preserve"> </w:t>
      </w:r>
      <w:r>
        <w:t xml:space="preserve">looking for. The first is a caution about model complexity. Our dataset</w:t>
      </w:r>
      <w:r>
        <w:t xml:space="preserve"> </w:t>
      </w:r>
      <w:r>
        <w:t xml:space="preserve">is small and the outcome we care about is rare, so we were told to be</w:t>
      </w:r>
      <w:r>
        <w:t xml:space="preserve"> </w:t>
      </w:r>
      <w:r>
        <w:t xml:space="preserve">careful about fitting a model as complicated as the one we proposed. We</w:t>
      </w:r>
      <w:r>
        <w:t xml:space="preserve"> </w:t>
      </w:r>
      <w:r>
        <w:t xml:space="preserve">treated that as something to test in this pass</w:t>
      </w:r>
      <w:r>
        <w:t xml:space="preserve"> </w:t>
      </w:r>
      <w:r>
        <w:t xml:space="preserve">rather than assume, and the counts below bear the concern out. The</w:t>
      </w:r>
      <w:r>
        <w:t xml:space="preserve"> </w:t>
      </w:r>
      <w:r>
        <w:t xml:space="preserve">second is a question about whether the two events behave the same way.</w:t>
      </w:r>
      <w:r>
        <w:t xml:space="preserve"> </w:t>
      </w:r>
      <w:r>
        <w:t xml:space="preserve">If the relationship between a venue’s features and its fate differs</w:t>
      </w:r>
      <w:r>
        <w:t xml:space="preserve"> </w:t>
      </w:r>
      <w:r>
        <w:t xml:space="preserve">between the World Cup and the Olympics, then pooling them into one model</w:t>
      </w:r>
      <w:r>
        <w:t xml:space="preserve"> </w:t>
      </w:r>
      <w:r>
        <w:t xml:space="preserve">hides something important. We should be looking for those differences</w:t>
      </w:r>
      <w:r>
        <w:t xml:space="preserve"> </w:t>
      </w:r>
      <w:r>
        <w:t xml:space="preserve">here rather than later. We have organized the results section around</w:t>
      </w:r>
      <w:r>
        <w:t xml:space="preserve"> </w:t>
      </w:r>
      <w:r>
        <w:t xml:space="preserve">that question, and we did find differences.</w:t>
      </w:r>
    </w:p>
    <w:bookmarkEnd w:id="10"/>
    <w:bookmarkStart w:id="13" w:name="methods"/>
    <w:p>
      <w:pPr>
        <w:pStyle w:val="Heading1"/>
      </w:pPr>
      <w:r>
        <w:t xml:space="preserve">Methods</w:t>
      </w:r>
    </w:p>
    <w:bookmarkStart w:id="11" w:name="datasets"/>
    <w:p>
      <w:pPr>
        <w:pStyle w:val="Heading2"/>
      </w:pPr>
      <w:r>
        <w:t xml:space="preserve">Datasets</w:t>
      </w:r>
    </w:p>
    <w:p>
      <w:pPr>
        <w:pStyle w:val="FirstParagraph"/>
      </w:pPr>
      <w:r>
        <w:t xml:space="preserve">We are building one venue table from two main sources. The World Cup</w:t>
      </w:r>
      <w:r>
        <w:t xml:space="preserve"> </w:t>
      </w:r>
      <w:r>
        <w:t xml:space="preserve">side comes from the Fjelstul World Cup Database, a clean CSV on GitHub.</w:t>
      </w:r>
      <w:r>
        <w:t xml:space="preserve"> </w:t>
      </w:r>
      <w:r>
        <w:t xml:space="preserve">It does not record what became of each stadium, so we labeled that</w:t>
      </w:r>
      <w:r>
        <w:t xml:space="preserve"> </w:t>
      </w:r>
      <w:r>
        <w:t xml:space="preserve">ourselves from each stadium’s Wikipedia article. That gave us 265 rows,</w:t>
      </w:r>
      <w:r>
        <w:t xml:space="preserve"> </w:t>
      </w:r>
      <w:r>
        <w:t xml:space="preserve">one per stadium per tournament appearance. It covers all 30 men’s and</w:t>
      </w:r>
      <w:r>
        <w:t xml:space="preserve"> </w:t>
      </w:r>
      <w:r>
        <w:t xml:space="preserve">women’s tournaments, from 1930 through 2022. The Olympic side comes from</w:t>
      </w:r>
      <w:r>
        <w:t xml:space="preserve"> </w:t>
      </w:r>
      <w:r>
        <w:t xml:space="preserve">the IOC’s own report on post-Games venue use, a 316-page PDF that we</w:t>
      </w:r>
      <w:r>
        <w:t xml:space="preserve"> </w:t>
      </w:r>
      <w:r>
        <w:t xml:space="preserve">extracted into a spreadsheet. It covers 983 venue rows from 1896 through</w:t>
      </w:r>
      <w:r>
        <w:t xml:space="preserve"> </w:t>
      </w:r>
      <w:r>
        <w:t xml:space="preserve">2022. Unlike the World Cup source, it already records each venue’s</w:t>
      </w:r>
      <w:r>
        <w:t xml:space="preserve"> </w:t>
      </w:r>
      <w:r>
        <w:t xml:space="preserve">current use. On top of both we joined host-country income (World Bank</w:t>
      </w:r>
      <w:r>
        <w:t xml:space="preserve"> </w:t>
      </w:r>
      <w:r>
        <w:t xml:space="preserve">GDP per capita), host-country corruption (Transparency International’s</w:t>
      </w:r>
      <w:r>
        <w:t xml:space="preserve"> </w:t>
      </w:r>
      <w:r>
        <w:t xml:space="preserve">Corruption Perceptions Index), and host-city population (UN data). All</w:t>
      </w:r>
      <w:r>
        <w:t xml:space="preserve"> </w:t>
      </w:r>
      <w:r>
        <w:t xml:space="preserve">three are measured at the year the event was awarded, not the year it</w:t>
      </w:r>
      <w:r>
        <w:t xml:space="preserve"> </w:t>
      </w:r>
      <w:r>
        <w:t xml:space="preserve">was held. That way we only use numbers the bid committee could have had</w:t>
      </w:r>
      <w:r>
        <w:t xml:space="preserve"> </w:t>
      </w:r>
      <w:r>
        <w:t xml:space="preserve">at the time. The IOC assessed venue use as of 2024 and checked it</w:t>
      </w:r>
      <w:r>
        <w:t xml:space="preserve"> </w:t>
      </w:r>
      <w:r>
        <w:t xml:space="preserve">against published sources and site visits, so we treat that side as a</w:t>
      </w:r>
      <w:r>
        <w:t xml:space="preserve"> </w:t>
      </w:r>
      <w:r>
        <w:t xml:space="preserve">solid third-party record. The World Cup labels are ours, built from</w:t>
      </w:r>
      <w:r>
        <w:t xml:space="preserve"> </w:t>
      </w:r>
      <w:r>
        <w:t xml:space="preserve">secondary sources and cross-checked against a separate source (a</w:t>
      </w:r>
      <w:r>
        <w:t xml:space="preserve"> </w:t>
      </w:r>
      <w:r>
        <w:t xml:space="preserve">Wikidata pull), so we hold them to more scrutiny.</w:t>
      </w:r>
    </w:p>
    <w:p>
      <w:pPr>
        <w:pStyle w:val="BodyText"/>
      </w:pPr>
      <w:r>
        <w:t xml:space="preserve">The two sources do not carry the same columns, and one gap matters more</w:t>
      </w:r>
      <w:r>
        <w:t xml:space="preserve"> </w:t>
      </w:r>
      <w:r>
        <w:t xml:space="preserve">than the others. Seating capacity is one of our named predictors. It is</w:t>
      </w:r>
      <w:r>
        <w:t xml:space="preserve"> </w:t>
      </w:r>
      <w:r>
        <w:t xml:space="preserve">complete on the World Cup side (265 of 265 rows) but absent from the</w:t>
      </w:r>
      <w:r>
        <w:t xml:space="preserve"> </w:t>
      </w:r>
      <w:r>
        <w:t xml:space="preserve">Olympic side entirely, because the IOC tables do not record it. That is</w:t>
      </w:r>
      <w:r>
        <w:t xml:space="preserve"> </w:t>
      </w:r>
      <w:r>
        <w:t xml:space="preserve">not a missing-value problem we can fill in; the field does not exist.</w:t>
      </w:r>
      <w:r>
        <w:t xml:space="preserve"> </w:t>
      </w:r>
      <w:r>
        <w:t xml:space="preserve">How we handle it is covered in the analysis plan below.</w:t>
      </w:r>
    </w:p>
    <w:bookmarkEnd w:id="11"/>
    <w:bookmarkStart w:id="12" w:name="eda-methods"/>
    <w:p>
      <w:pPr>
        <w:pStyle w:val="Heading2"/>
      </w:pPr>
      <w:r>
        <w:t xml:space="preserve">EDA Methods</w:t>
      </w:r>
    </w:p>
    <w:p>
      <w:pPr>
        <w:pStyle w:val="FirstParagraph"/>
      </w:pPr>
      <w:r>
        <w:t xml:space="preserve">Before looking at anything we did a small amount of cleaning, and only</w:t>
      </w:r>
      <w:r>
        <w:t xml:space="preserve"> </w:t>
      </w:r>
      <w:r>
        <w:t xml:space="preserve">what was needed to count the data. The Olympic status text was not</w:t>
      </w:r>
      <w:r>
        <w:t xml:space="preserve"> </w:t>
      </w:r>
      <w:r>
        <w:t xml:space="preserve">consistent. The same three states (in use, not in use, dismantled)</w:t>
      </w:r>
      <w:r>
        <w:t xml:space="preserve"> </w:t>
      </w:r>
      <w:r>
        <w:t xml:space="preserve">showed up under several different spellings and with some stray</w:t>
      </w:r>
      <w:r>
        <w:t xml:space="preserve"> </w:t>
      </w:r>
      <w:r>
        <w:t xml:space="preserve">formatting. We standardized the wording into those three categories for</w:t>
      </w:r>
      <w:r>
        <w:t xml:space="preserve"> </w:t>
      </w:r>
      <w:r>
        <w:t xml:space="preserve">counting. We kept the original status text as well, so we do not lose</w:t>
      </w:r>
      <w:r>
        <w:t xml:space="preserve"> </w:t>
      </w:r>
      <w:r>
        <w:t xml:space="preserve">the detail it carries (such as rebuilt or demolished). We did the same</w:t>
      </w:r>
      <w:r>
        <w:t xml:space="preserve"> </w:t>
      </w:r>
      <w:r>
        <w:t xml:space="preserve">for the New, Existing, and Temporary classification. We added a region</w:t>
      </w:r>
      <w:r>
        <w:t xml:space="preserve"> </w:t>
      </w:r>
      <w:r>
        <w:t xml:space="preserve">for each host country and an era for each edition, so we could compare</w:t>
      </w:r>
      <w:r>
        <w:t xml:space="preserve"> </w:t>
      </w:r>
      <w:r>
        <w:t xml:space="preserve">across place and time. The eras split at pre-WWII (1945 and earlier),</w:t>
      </w:r>
      <w:r>
        <w:t xml:space="preserve"> </w:t>
      </w:r>
      <w:r>
        <w:t xml:space="preserve">postwar (1946 to 2000), and recent (2001 onward). We did not touch</w:t>
      </w:r>
      <w:r>
        <w:t xml:space="preserve"> </w:t>
      </w:r>
      <w:r>
        <w:t xml:space="preserve">missing values, since the assignment asks us to hold off on that until</w:t>
      </w:r>
      <w:r>
        <w:t xml:space="preserve"> </w:t>
      </w:r>
      <w:r>
        <w:t xml:space="preserve">we understand the data. For the numbers themselves we used standard</w:t>
      </w:r>
      <w:r>
        <w:t xml:space="preserve"> </w:t>
      </w:r>
      <w:r>
        <w:t xml:space="preserve">summary statistics. We checked each distribution’s shape by comparing</w:t>
      </w:r>
      <w:r>
        <w:t xml:space="preserve"> </w:t>
      </w:r>
      <w:r>
        <w:t xml:space="preserve">the mean to the median, since a large gap signals skew. For the</w:t>
      </w:r>
      <w:r>
        <w:t xml:space="preserve"> </w:t>
      </w:r>
      <w:r>
        <w:t xml:space="preserve">categories we counted how often each one occurs. We also ran a</w:t>
      </w:r>
      <w:r>
        <w:t xml:space="preserve"> </w:t>
      </w:r>
      <w:r>
        <w:t xml:space="preserve">correlation check on the factors the model uses (its predictors). It</w:t>
      </w:r>
      <w:r>
        <w:t xml:space="preserve"> </w:t>
      </w:r>
      <w:r>
        <w:t xml:space="preserve">asks whether any two of them move together so closely that we would not</w:t>
      </w:r>
      <w:r>
        <w:t xml:space="preserve"> </w:t>
      </w:r>
      <w:r>
        <w:t xml:space="preserve">want both in the model.</w:t>
      </w:r>
    </w:p>
    <w:p>
      <w:pPr>
        <w:pStyle w:val="BodyText"/>
      </w:pPr>
      <w:r>
        <w:t xml:space="preserve">We also checked both tables for duplicate records, and the answer is</w:t>
      </w:r>
      <w:r>
        <w:t xml:space="preserve"> </w:t>
      </w:r>
      <w:r>
        <w:t xml:space="preserve">different on the two sides. Neither table contains a row that is a</w:t>
      </w:r>
      <w:r>
        <w:t xml:space="preserve"> </w:t>
      </w:r>
      <w:r>
        <w:t xml:space="preserve">complete copy of another row. On the World Cup side, a stadium and a</w:t>
      </w:r>
      <w:r>
        <w:t xml:space="preserve"> </w:t>
      </w:r>
      <w:r>
        <w:t xml:space="preserve">tournament year together identify a row uniquely, with no collisions.</w:t>
      </w:r>
      <w:r>
        <w:t xml:space="preserve"> </w:t>
      </w:r>
      <w:r>
        <w:t xml:space="preserve">The 265 rows collapse to 238 distinct stadiums, once we account for the</w:t>
      </w:r>
      <w:r>
        <w:t xml:space="preserve"> </w:t>
      </w:r>
      <w:r>
        <w:t xml:space="preserve">24 stadiums that hosted more than one tournament.</w:t>
      </w:r>
    </w:p>
    <w:p>
      <w:pPr>
        <w:pStyle w:val="BodyText"/>
      </w:pPr>
      <w:r>
        <w:t xml:space="preserve">The Olympic side is harder, because the same venue name can show up more</w:t>
      </w:r>
      <w:r>
        <w:t xml:space="preserve"> </w:t>
      </w:r>
      <w:r>
        <w:t xml:space="preserve">than once in the same year. That happens for two different reasons, and</w:t>
      </w:r>
      <w:r>
        <w:t xml:space="preserve"> </w:t>
      </w:r>
      <w:r>
        <w:t xml:space="preserve">they need different handling. The first reason is that two genuinely</w:t>
      </w:r>
      <w:r>
        <w:t xml:space="preserve"> </w:t>
      </w:r>
      <w:r>
        <w:t xml:space="preserve">different places can share a name. The two rows reading</w:t>
      </w:r>
      <w:r>
        <w:t xml:space="preserve"> </w:t>
      </w:r>
      <w:r>
        <w:t xml:space="preserve">“Olympic Village</w:t>
      </w:r>
      <w:r>
        <w:t xml:space="preserve"> </w:t>
      </w:r>
      <w:r>
        <w:t xml:space="preserve">1960”</w:t>
      </w:r>
      <w:r>
        <w:t xml:space="preserve"> </w:t>
      </w:r>
      <w:r>
        <w:t xml:space="preserve">are the Rome Summer Games and the Squaw Valley Winter Games, both</w:t>
      </w:r>
      <w:r>
        <w:t xml:space="preserve"> </w:t>
      </w:r>
      <w:r>
        <w:t xml:space="preserve">held in 1960, so adding the host city tells them apart. The second</w:t>
      </w:r>
      <w:r>
        <w:t xml:space="preserve"> </w:t>
      </w:r>
      <w:r>
        <w:t xml:space="preserve">reason is that the IOC table records one row for each sport played at a</w:t>
      </w:r>
      <w:r>
        <w:t xml:space="preserve"> </w:t>
      </w:r>
      <w:r>
        <w:t xml:space="preserve">venue, not one row per building. A single building that hosted two</w:t>
      </w:r>
      <w:r>
        <w:t xml:space="preserve"> </w:t>
      </w:r>
      <w:r>
        <w:t xml:space="preserve">sports is listed twice. Both</w:t>
      </w:r>
      <w:r>
        <w:t xml:space="preserve"> </w:t>
      </w:r>
      <w:r>
        <w:t xml:space="preserve">“Grand Arena 1980”</w:t>
      </w:r>
      <w:r>
        <w:t xml:space="preserve"> </w:t>
      </w:r>
      <w:r>
        <w:t xml:space="preserve">rows are the same</w:t>
      </w:r>
      <w:r>
        <w:t xml:space="preserve"> </w:t>
      </w:r>
      <w:r>
        <w:t xml:space="preserve">Moscow building and both say it is still in use, so nothing is at stake</w:t>
      </w:r>
      <w:r>
        <w:t xml:space="preserve"> </w:t>
      </w:r>
      <w:r>
        <w:t xml:space="preserve">there. The case that does cause trouble is</w:t>
      </w:r>
      <w:r>
        <w:t xml:space="preserve"> </w:t>
      </w:r>
      <w:r>
        <w:t xml:space="preserve">“Minor Arena 1980”</w:t>
      </w:r>
      <w:r>
        <w:t xml:space="preserve">. There are</w:t>
      </w:r>
      <w:r>
        <w:t xml:space="preserve"> </w:t>
      </w:r>
      <w:r>
        <w:t xml:space="preserve">two rows, both in Moscow, and they disagree with each other: one says in</w:t>
      </w:r>
      <w:r>
        <w:t xml:space="preserve"> </w:t>
      </w:r>
      <w:r>
        <w:t xml:space="preserve">use, the other says not in use and demolished. The IOC table has no</w:t>
      </w:r>
      <w:r>
        <w:t xml:space="preserve"> </w:t>
      </w:r>
      <w:r>
        <w:t xml:space="preserve">column saying which building or sports complex a row belongs to. We</w:t>
      </w:r>
      <w:r>
        <w:t xml:space="preserve"> </w:t>
      </w:r>
      <w:r>
        <w:t xml:space="preserve">cannot tell from the data whether this is one building entered twice</w:t>
      </w:r>
      <w:r>
        <w:t xml:space="preserve"> </w:t>
      </w:r>
      <w:r>
        <w:t xml:space="preserve">with an error, or two different buildings that happen to share a name.</w:t>
      </w:r>
      <w:r>
        <w:t xml:space="preserve"> </w:t>
      </w:r>
      <w:r>
        <w:t xml:space="preserve">We are therefore identifying Olympic venues by name, Games year, and</w:t>
      </w:r>
      <w:r>
        <w:t xml:space="preserve"> </w:t>
      </w:r>
      <w:r>
        <w:t xml:space="preserve">host city together, which sorts out the first problem. We are leaving</w:t>
      </w:r>
      <w:r>
        <w:t xml:space="preserve"> </w:t>
      </w:r>
      <w:r>
        <w:t xml:space="preserve">the Minor Arena pair flagged rather than combining it. Combining</w:t>
      </w:r>
      <w:r>
        <w:t xml:space="preserve"> </w:t>
      </w:r>
      <w:r>
        <w:t xml:space="preserve">two rows that disagree about the outcome would put a wrong answer into</w:t>
      </w:r>
      <w:r>
        <w:t xml:space="preserve"> </w:t>
      </w:r>
      <w:r>
        <w:t xml:space="preserve">the very thing we are trying to predict.</w:t>
      </w:r>
    </w:p>
    <w:bookmarkEnd w:id="12"/>
    <w:bookmarkEnd w:id="13"/>
    <w:bookmarkStart w:id="38" w:name="results"/>
    <w:p>
      <w:pPr>
        <w:pStyle w:val="Heading1"/>
      </w:pPr>
      <w:r>
        <w:t xml:space="preserve">Results</w:t>
      </w:r>
    </w:p>
    <w:bookmarkStart w:id="26" w:name="what-the-data-looks-like"/>
    <w:p>
      <w:pPr>
        <w:pStyle w:val="Heading2"/>
      </w:pPr>
      <w:r>
        <w:t xml:space="preserve">What the data looks like</w:t>
      </w:r>
    </w:p>
    <w:p>
      <w:pPr>
        <w:pStyle w:val="FirstParagraph"/>
      </w:pPr>
      <w:r>
        <w:rPr>
          <w:b/>
          <w:bCs/>
        </w:rPr>
        <w:t xml:space="preserve">Descriptive statistics:</w:t>
      </w:r>
      <w:r>
        <w:t xml:space="preserve"> </w:t>
      </w:r>
      <w:r>
        <w:t xml:space="preserve">The number-valued predictors (the continuous</w:t>
      </w:r>
      <w:r>
        <w:t xml:space="preserve"> </w:t>
      </w:r>
      <w:r>
        <w:t xml:space="preserve">ones) are strongly right-skewed. World Cup stadium capacity averages</w:t>
      </w:r>
      <w:r>
        <w:t xml:space="preserve"> </w:t>
      </w:r>
      <w:r>
        <w:t xml:space="preserve">about 47,900 seats but has a median of 44,000. The mean sitting well</w:t>
      </w:r>
      <w:r>
        <w:t xml:space="preserve"> </w:t>
      </w:r>
      <w:r>
        <w:t xml:space="preserve">above the median signals a long tail of very large stadiums (Table 1,</w:t>
      </w:r>
      <w:r>
        <w:t xml:space="preserve"> </w:t>
      </w:r>
      <w:r>
        <w:t xml:space="preserve">Figure 3). Host GDP per capita and city population show the same</w:t>
      </w:r>
      <w:r>
        <w:t xml:space="preserve"> </w:t>
      </w:r>
      <w:r>
        <w:t xml:space="preserve">pattern. This tells us those variables will probably need a</w:t>
      </w:r>
      <w:r>
        <w:t xml:space="preserve"> </w:t>
      </w:r>
      <w:r>
        <w:t xml:space="preserve">transformation (such as a log scale) before modeling, so a handful of</w:t>
      </w:r>
      <w:r>
        <w:t xml:space="preserve"> </w:t>
      </w:r>
      <w:r>
        <w:t xml:space="preserve">extreme values do not dominate. For the categories (Table 2), the World</w:t>
      </w:r>
      <w:r>
        <w:t xml:space="preserve"> </w:t>
      </w:r>
      <w:r>
        <w:t xml:space="preserve">Cup venues split 171 Existing to 94 New and almost evenly between</w:t>
      </w:r>
      <w:r>
        <w:t xml:space="preserve"> </w:t>
      </w:r>
      <w:r>
        <w:t xml:space="preserve">multi-purpose (137) and single-purpose (128). The Olympic venues run 473</w:t>
      </w:r>
      <w:r>
        <w:t xml:space="preserve"> </w:t>
      </w:r>
      <w:r>
        <w:t xml:space="preserve">Existing, 388 New, 113 Temporary, and 9 mixed, which are Olympic Villages</w:t>
      </w:r>
      <w:r>
        <w:t xml:space="preserve"> </w:t>
      </w:r>
      <w:r>
        <w:t xml:space="preserve">that combined existing buildings with newly built ones.</w:t>
      </w:r>
    </w:p>
    <w:p>
      <w:pPr>
        <w:pStyle w:val="BodyText"/>
      </w:pPr>
      <w:r>
        <w:rPr>
          <w:b/>
          <w:bCs/>
        </w:rPr>
        <w:t xml:space="preserve">The descriptive tables:</w:t>
      </w:r>
      <w:r>
        <w:t xml:space="preserve"> </w:t>
      </w:r>
      <w:r>
        <w:t xml:space="preserve">Table 1 reports the summary statistics for</w:t>
      </w:r>
      <w:r>
        <w:t xml:space="preserve"> </w:t>
      </w:r>
      <w:r>
        <w:t xml:space="preserve">the continuous variables on each side. Table 2 reports the counts and</w:t>
      </w:r>
      <w:r>
        <w:t xml:space="preserve"> </w:t>
      </w:r>
      <w:r>
        <w:t xml:space="preserve">proportions for the category variables (the categorical ones).</w:t>
      </w:r>
    </w:p>
    <w:p>
      <w:pPr>
        <w:pStyle w:val="TableCaption"/>
      </w:pPr>
      <w:r>
        <w:t xml:space="preserve">Table 1. Descriptive statistics for the continuous variables, World</w:t>
      </w:r>
      <w:r>
        <w:t xml:space="preserve"> </w:t>
      </w:r>
      <w:r>
        <w:t xml:space="preserve">Cup and Olympic venues.</w:t>
      </w:r>
    </w:p>
    <w:tbl>
      <w:tblPr>
        <w:tblStyle w:val="Table"/>
        <w:tblW w:type="pct" w:w="4886"/>
        <w:tblLayout w:type="fixed"/>
        <w:tblLook w:firstRow="1" w:lastRow="0" w:firstColumn="0" w:lastColumn="0" w:noHBand="0" w:noVBand="0" w:val="0020"/>
        <w:tblCaption w:val="Table 1. Descriptive statistics for the continuous variables, World Cup and Olympic venues."/>
      </w:tblPr>
      <w:tblGrid>
        <w:gridCol w:w="1890"/>
        <w:gridCol w:w="900"/>
        <w:gridCol w:w="810"/>
        <w:gridCol w:w="810"/>
        <w:gridCol w:w="810"/>
        <w:gridCol w:w="810"/>
        <w:gridCol w:w="810"/>
        <w:gridCol w:w="900"/>
      </w:tblGrid>
      <w:tr>
        <w:trPr>
          <w:tblHeader w:val="on"/>
        </w:trPr>
        <w:tc>
          <w:tcPr/>
          <w:p>
            <w:pPr>
              <w:pStyle w:val="Compact"/>
              <w:jc w:val="left"/>
            </w:pPr>
            <w:r>
              <w:t xml:space="preserve">Variable</w:t>
            </w:r>
          </w:p>
        </w:tc>
        <w:tc>
          <w:tcPr/>
          <w:p>
            <w:pPr>
              <w:pStyle w:val="Compact"/>
              <w:jc w:val="left"/>
            </w:pPr>
            <w:r>
              <w:t xml:space="preserve">Dataset</w:t>
            </w:r>
          </w:p>
        </w:tc>
        <w:tc>
          <w:tcPr/>
          <w:p>
            <w:pPr>
              <w:pStyle w:val="Compact"/>
              <w:jc w:val="left"/>
            </w:pPr>
            <w:r>
              <w:t xml:space="preserve">N</w:t>
            </w:r>
          </w:p>
        </w:tc>
        <w:tc>
          <w:tcPr/>
          <w:p>
            <w:pPr>
              <w:pStyle w:val="Compact"/>
              <w:jc w:val="left"/>
            </w:pPr>
            <w:r>
              <w:t xml:space="preserve">Mean</w:t>
            </w:r>
          </w:p>
        </w:tc>
        <w:tc>
          <w:tcPr/>
          <w:p>
            <w:pPr>
              <w:pStyle w:val="Compact"/>
              <w:jc w:val="left"/>
            </w:pPr>
            <w:r>
              <w:t xml:space="preserve">Median</w:t>
            </w:r>
          </w:p>
        </w:tc>
        <w:tc>
          <w:tcPr/>
          <w:p>
            <w:pPr>
              <w:pStyle w:val="Compact"/>
              <w:jc w:val="left"/>
            </w:pPr>
            <w:r>
              <w:t xml:space="preserve">SD</w:t>
            </w:r>
          </w:p>
        </w:tc>
        <w:tc>
          <w:tcPr/>
          <w:p>
            <w:pPr>
              <w:pStyle w:val="Compact"/>
              <w:jc w:val="left"/>
            </w:pPr>
            <w:r>
              <w:t xml:space="preserve">Min</w:t>
            </w:r>
          </w:p>
        </w:tc>
        <w:tc>
          <w:tcPr/>
          <w:p>
            <w:pPr>
              <w:pStyle w:val="Compact"/>
              <w:jc w:val="left"/>
            </w:pPr>
            <w:r>
              <w:t xml:space="preserve">Max</w:t>
            </w:r>
          </w:p>
        </w:tc>
      </w:tr>
      <w:tr>
        <w:tc>
          <w:tcPr/>
          <w:p>
            <w:pPr>
              <w:pStyle w:val="Compact"/>
              <w:jc w:val="left"/>
            </w:pPr>
            <w:r>
              <w:t xml:space="preserve">stadium_capacity</w:t>
            </w:r>
          </w:p>
        </w:tc>
        <w:tc>
          <w:tcPr/>
          <w:p>
            <w:pPr>
              <w:pStyle w:val="Compact"/>
              <w:jc w:val="left"/>
            </w:pPr>
            <w:r>
              <w:t xml:space="preserve">World Cup</w:t>
            </w:r>
          </w:p>
        </w:tc>
        <w:tc>
          <w:tcPr/>
          <w:p>
            <w:pPr>
              <w:pStyle w:val="Compact"/>
              <w:jc w:val="left"/>
            </w:pPr>
            <w:r>
              <w:t xml:space="preserve">265</w:t>
            </w:r>
          </w:p>
        </w:tc>
        <w:tc>
          <w:tcPr/>
          <w:p>
            <w:pPr>
              <w:pStyle w:val="Compact"/>
              <w:jc w:val="left"/>
            </w:pPr>
            <w:r>
              <w:t xml:space="preserve">47,883</w:t>
            </w:r>
          </w:p>
        </w:tc>
        <w:tc>
          <w:tcPr/>
          <w:p>
            <w:pPr>
              <w:pStyle w:val="Compact"/>
              <w:jc w:val="left"/>
            </w:pPr>
            <w:r>
              <w:t xml:space="preserve">44,000</w:t>
            </w:r>
          </w:p>
        </w:tc>
        <w:tc>
          <w:tcPr/>
          <w:p>
            <w:pPr>
              <w:pStyle w:val="Compact"/>
              <w:jc w:val="left"/>
            </w:pPr>
            <w:r>
              <w:t xml:space="preserve">24,656</w:t>
            </w:r>
          </w:p>
        </w:tc>
        <w:tc>
          <w:tcPr/>
          <w:p>
            <w:pPr>
              <w:pStyle w:val="Compact"/>
              <w:jc w:val="left"/>
            </w:pPr>
            <w:r>
              <w:t xml:space="preserve">5,000</w:t>
            </w:r>
          </w:p>
        </w:tc>
        <w:tc>
          <w:tcPr/>
          <w:p>
            <w:pPr>
              <w:pStyle w:val="Compact"/>
              <w:jc w:val="left"/>
            </w:pPr>
            <w:r>
              <w:t xml:space="preserve">200,000</w:t>
            </w:r>
          </w:p>
        </w:tc>
      </w:tr>
      <w:tr>
        <w:tc>
          <w:tcPr/>
          <w:p>
            <w:pPr>
              <w:pStyle w:val="Compact"/>
              <w:jc w:val="left"/>
            </w:pPr>
            <w:r>
              <w:t xml:space="preserve">gdp_per_capita</w:t>
            </w:r>
          </w:p>
        </w:tc>
        <w:tc>
          <w:tcPr/>
          <w:p>
            <w:pPr>
              <w:pStyle w:val="Compact"/>
              <w:jc w:val="left"/>
            </w:pPr>
            <w:r>
              <w:t xml:space="preserve">World Cup</w:t>
            </w:r>
          </w:p>
        </w:tc>
        <w:tc>
          <w:tcPr/>
          <w:p>
            <w:pPr>
              <w:pStyle w:val="Compact"/>
              <w:jc w:val="left"/>
            </w:pPr>
            <w:r>
              <w:t xml:space="preserve">216</w:t>
            </w:r>
          </w:p>
        </w:tc>
        <w:tc>
          <w:tcPr/>
          <w:p>
            <w:pPr>
              <w:pStyle w:val="Compact"/>
              <w:jc w:val="left"/>
            </w:pPr>
            <w:r>
              <w:t xml:space="preserve">18,272</w:t>
            </w:r>
          </w:p>
        </w:tc>
        <w:tc>
          <w:tcPr/>
          <w:p>
            <w:pPr>
              <w:pStyle w:val="Compact"/>
              <w:jc w:val="left"/>
            </w:pPr>
            <w:r>
              <w:t xml:space="preserve">10,675</w:t>
            </w:r>
          </w:p>
        </w:tc>
        <w:tc>
          <w:tcPr/>
          <w:p>
            <w:pPr>
              <w:pStyle w:val="Compact"/>
              <w:jc w:val="left"/>
            </w:pPr>
            <w:r>
              <w:t xml:space="preserve">18,991</w:t>
            </w:r>
          </w:p>
        </w:tc>
        <w:tc>
          <w:tcPr/>
          <w:p>
            <w:pPr>
              <w:pStyle w:val="Compact"/>
              <w:jc w:val="left"/>
            </w:pPr>
            <w:r>
              <w:t xml:space="preserve">284</w:t>
            </w:r>
          </w:p>
        </w:tc>
        <w:tc>
          <w:tcPr/>
          <w:p>
            <w:pPr>
              <w:pStyle w:val="Compact"/>
              <w:jc w:val="left"/>
            </w:pPr>
            <w:r>
              <w:t xml:space="preserve">77,387</w:t>
            </w:r>
          </w:p>
        </w:tc>
      </w:tr>
      <w:tr>
        <w:tc>
          <w:tcPr/>
          <w:p>
            <w:pPr>
              <w:pStyle w:val="Compact"/>
              <w:jc w:val="left"/>
            </w:pPr>
            <w:r>
              <w:t xml:space="preserve">city_pop_thousands</w:t>
            </w:r>
          </w:p>
        </w:tc>
        <w:tc>
          <w:tcPr/>
          <w:p>
            <w:pPr>
              <w:pStyle w:val="Compact"/>
              <w:jc w:val="left"/>
            </w:pPr>
            <w:r>
              <w:t xml:space="preserve">World Cup</w:t>
            </w:r>
          </w:p>
        </w:tc>
        <w:tc>
          <w:tcPr/>
          <w:p>
            <w:pPr>
              <w:pStyle w:val="Compact"/>
              <w:jc w:val="left"/>
            </w:pPr>
            <w:r>
              <w:t xml:space="preserve">256</w:t>
            </w:r>
          </w:p>
        </w:tc>
        <w:tc>
          <w:tcPr/>
          <w:p>
            <w:pPr>
              <w:pStyle w:val="Compact"/>
              <w:jc w:val="left"/>
            </w:pPr>
            <w:r>
              <w:t xml:space="preserve">2,692</w:t>
            </w:r>
          </w:p>
        </w:tc>
        <w:tc>
          <w:tcPr/>
          <w:p>
            <w:pPr>
              <w:pStyle w:val="Compact"/>
              <w:jc w:val="left"/>
            </w:pPr>
            <w:r>
              <w:t xml:space="preserve">919</w:t>
            </w:r>
          </w:p>
        </w:tc>
        <w:tc>
          <w:tcPr/>
          <w:p>
            <w:pPr>
              <w:pStyle w:val="Compact"/>
              <w:jc w:val="left"/>
            </w:pPr>
            <w:r>
              <w:t xml:space="preserve">4,520</w:t>
            </w:r>
          </w:p>
        </w:tc>
        <w:tc>
          <w:tcPr/>
          <w:p>
            <w:pPr>
              <w:pStyle w:val="Compact"/>
              <w:jc w:val="left"/>
            </w:pPr>
            <w:r>
              <w:t xml:space="preserve">50</w:t>
            </w:r>
          </w:p>
        </w:tc>
        <w:tc>
          <w:tcPr/>
          <w:p>
            <w:pPr>
              <w:pStyle w:val="Compact"/>
              <w:jc w:val="left"/>
            </w:pPr>
            <w:r>
              <w:t xml:space="preserve">29,438</w:t>
            </w:r>
          </w:p>
        </w:tc>
      </w:tr>
      <w:tr>
        <w:tc>
          <w:tcPr/>
          <w:p>
            <w:pPr>
              <w:pStyle w:val="Compact"/>
              <w:jc w:val="left"/>
            </w:pPr>
            <w:r>
              <w:t xml:space="preserve">opened_year</w:t>
            </w:r>
          </w:p>
        </w:tc>
        <w:tc>
          <w:tcPr/>
          <w:p>
            <w:pPr>
              <w:pStyle w:val="Compact"/>
              <w:jc w:val="left"/>
            </w:pPr>
            <w:r>
              <w:t xml:space="preserve">World Cup</w:t>
            </w:r>
          </w:p>
        </w:tc>
        <w:tc>
          <w:tcPr/>
          <w:p>
            <w:pPr>
              <w:pStyle w:val="Compact"/>
              <w:jc w:val="left"/>
            </w:pPr>
            <w:r>
              <w:t xml:space="preserve">264</w:t>
            </w:r>
          </w:p>
        </w:tc>
        <w:tc>
          <w:tcPr/>
          <w:p>
            <w:pPr>
              <w:pStyle w:val="Compact"/>
              <w:jc w:val="left"/>
            </w:pPr>
            <w:r>
              <w:t xml:space="preserve">1,963</w:t>
            </w:r>
          </w:p>
        </w:tc>
        <w:tc>
          <w:tcPr/>
          <w:p>
            <w:pPr>
              <w:pStyle w:val="Compact"/>
              <w:jc w:val="left"/>
            </w:pPr>
            <w:r>
              <w:t xml:space="preserve">1,961</w:t>
            </w:r>
          </w:p>
        </w:tc>
        <w:tc>
          <w:tcPr/>
          <w:p>
            <w:pPr>
              <w:pStyle w:val="Compact"/>
              <w:jc w:val="left"/>
            </w:pPr>
            <w:r>
              <w:t xml:space="preserve">36</w:t>
            </w:r>
          </w:p>
        </w:tc>
        <w:tc>
          <w:tcPr/>
          <w:p>
            <w:pPr>
              <w:pStyle w:val="Compact"/>
              <w:jc w:val="left"/>
            </w:pPr>
            <w:r>
              <w:t xml:space="preserve">1,892</w:t>
            </w:r>
          </w:p>
        </w:tc>
        <w:tc>
          <w:tcPr/>
          <w:p>
            <w:pPr>
              <w:pStyle w:val="Compact"/>
              <w:jc w:val="left"/>
            </w:pPr>
            <w:r>
              <w:t xml:space="preserve">2,022</w:t>
            </w:r>
          </w:p>
        </w:tc>
      </w:tr>
      <w:tr>
        <w:tc>
          <w:tcPr/>
          <w:p>
            <w:pPr>
              <w:pStyle w:val="Compact"/>
              <w:jc w:val="left"/>
            </w:pPr>
            <w:r>
              <w:t xml:space="preserve">tournament_year</w:t>
            </w:r>
          </w:p>
        </w:tc>
        <w:tc>
          <w:tcPr/>
          <w:p>
            <w:pPr>
              <w:pStyle w:val="Compact"/>
              <w:jc w:val="left"/>
            </w:pPr>
            <w:r>
              <w:t xml:space="preserve">World Cup</w:t>
            </w:r>
          </w:p>
        </w:tc>
        <w:tc>
          <w:tcPr/>
          <w:p>
            <w:pPr>
              <w:pStyle w:val="Compact"/>
              <w:jc w:val="left"/>
            </w:pPr>
            <w:r>
              <w:t xml:space="preserve">265</w:t>
            </w:r>
          </w:p>
        </w:tc>
        <w:tc>
          <w:tcPr/>
          <w:p>
            <w:pPr>
              <w:pStyle w:val="Compact"/>
              <w:jc w:val="left"/>
            </w:pPr>
            <w:r>
              <w:t xml:space="preserve">1,989</w:t>
            </w:r>
          </w:p>
        </w:tc>
        <w:tc>
          <w:tcPr/>
          <w:p>
            <w:pPr>
              <w:pStyle w:val="Compact"/>
              <w:jc w:val="left"/>
            </w:pPr>
            <w:r>
              <w:t xml:space="preserve">1,994</w:t>
            </w:r>
          </w:p>
        </w:tc>
        <w:tc>
          <w:tcPr/>
          <w:p>
            <w:pPr>
              <w:pStyle w:val="Compact"/>
              <w:jc w:val="left"/>
            </w:pPr>
            <w:r>
              <w:t xml:space="preserve">25</w:t>
            </w:r>
          </w:p>
        </w:tc>
        <w:tc>
          <w:tcPr/>
          <w:p>
            <w:pPr>
              <w:pStyle w:val="Compact"/>
              <w:jc w:val="left"/>
            </w:pPr>
            <w:r>
              <w:t xml:space="preserve">1,930</w:t>
            </w:r>
          </w:p>
        </w:tc>
        <w:tc>
          <w:tcPr/>
          <w:p>
            <w:pPr>
              <w:pStyle w:val="Compact"/>
              <w:jc w:val="left"/>
            </w:pPr>
            <w:r>
              <w:t xml:space="preserve">2,022</w:t>
            </w:r>
          </w:p>
        </w:tc>
      </w:tr>
      <w:tr>
        <w:tc>
          <w:tcPr/>
          <w:p>
            <w:pPr>
              <w:pStyle w:val="Compact"/>
              <w:jc w:val="left"/>
            </w:pPr>
            <w:r>
              <w:t xml:space="preserve">gdp_per_capita</w:t>
            </w:r>
          </w:p>
        </w:tc>
        <w:tc>
          <w:tcPr/>
          <w:p>
            <w:pPr>
              <w:pStyle w:val="Compact"/>
              <w:jc w:val="left"/>
            </w:pPr>
            <w:r>
              <w:t xml:space="preserve">Olympic</w:t>
            </w:r>
          </w:p>
        </w:tc>
        <w:tc>
          <w:tcPr/>
          <w:p>
            <w:pPr>
              <w:pStyle w:val="Compact"/>
              <w:jc w:val="left"/>
            </w:pPr>
            <w:r>
              <w:t xml:space="preserve">607</w:t>
            </w:r>
          </w:p>
        </w:tc>
        <w:tc>
          <w:tcPr/>
          <w:p>
            <w:pPr>
              <w:pStyle w:val="Compact"/>
              <w:jc w:val="left"/>
            </w:pPr>
            <w:r>
              <w:t xml:space="preserve">14,624</w:t>
            </w:r>
          </w:p>
        </w:tc>
        <w:tc>
          <w:tcPr/>
          <w:p>
            <w:pPr>
              <w:pStyle w:val="Compact"/>
              <w:jc w:val="left"/>
            </w:pPr>
            <w:r>
              <w:t xml:space="preserve">10,565</w:t>
            </w:r>
          </w:p>
        </w:tc>
        <w:tc>
          <w:tcPr/>
          <w:p>
            <w:pPr>
              <w:pStyle w:val="Compact"/>
              <w:jc w:val="left"/>
            </w:pPr>
            <w:r>
              <w:t xml:space="preserve">13,241</w:t>
            </w:r>
          </w:p>
        </w:tc>
        <w:tc>
          <w:tcPr/>
          <w:p>
            <w:pPr>
              <w:pStyle w:val="Compact"/>
              <w:jc w:val="left"/>
            </w:pPr>
            <w:r>
              <w:t xml:space="preserve">420</w:t>
            </w:r>
          </w:p>
        </w:tc>
        <w:tc>
          <w:tcPr/>
          <w:p>
            <w:pPr>
              <w:pStyle w:val="Compact"/>
              <w:jc w:val="left"/>
            </w:pPr>
            <w:r>
              <w:t xml:space="preserve">42,240</w:t>
            </w:r>
          </w:p>
        </w:tc>
      </w:tr>
      <w:tr>
        <w:tc>
          <w:tcPr/>
          <w:p>
            <w:pPr>
              <w:pStyle w:val="Compact"/>
              <w:jc w:val="left"/>
            </w:pPr>
            <w:r>
              <w:t xml:space="preserve">city_pop_thousands</w:t>
            </w:r>
          </w:p>
        </w:tc>
        <w:tc>
          <w:tcPr/>
          <w:p>
            <w:pPr>
              <w:pStyle w:val="Compact"/>
              <w:jc w:val="left"/>
            </w:pPr>
            <w:r>
              <w:t xml:space="preserve">Olympic</w:t>
            </w:r>
          </w:p>
        </w:tc>
        <w:tc>
          <w:tcPr/>
          <w:p>
            <w:pPr>
              <w:pStyle w:val="Compact"/>
              <w:jc w:val="left"/>
            </w:pPr>
            <w:r>
              <w:t xml:space="preserve">853</w:t>
            </w:r>
          </w:p>
        </w:tc>
        <w:tc>
          <w:tcPr/>
          <w:p>
            <w:pPr>
              <w:pStyle w:val="Compact"/>
              <w:jc w:val="left"/>
            </w:pPr>
            <w:r>
              <w:t xml:space="preserve">6,600</w:t>
            </w:r>
          </w:p>
        </w:tc>
        <w:tc>
          <w:tcPr/>
          <w:p>
            <w:pPr>
              <w:pStyle w:val="Compact"/>
              <w:jc w:val="left"/>
            </w:pPr>
            <w:r>
              <w:t xml:space="preserve">3,026</w:t>
            </w:r>
          </w:p>
        </w:tc>
        <w:tc>
          <w:tcPr/>
          <w:p>
            <w:pPr>
              <w:pStyle w:val="Compact"/>
              <w:jc w:val="left"/>
            </w:pPr>
            <w:r>
              <w:t xml:space="preserve">8,154</w:t>
            </w:r>
          </w:p>
        </w:tc>
        <w:tc>
          <w:tcPr/>
          <w:p>
            <w:pPr>
              <w:pStyle w:val="Compact"/>
              <w:jc w:val="left"/>
            </w:pPr>
            <w:r>
              <w:t xml:space="preserve">56</w:t>
            </w:r>
          </w:p>
        </w:tc>
        <w:tc>
          <w:tcPr/>
          <w:p>
            <w:pPr>
              <w:pStyle w:val="Compact"/>
              <w:jc w:val="left"/>
            </w:pPr>
            <w:r>
              <w:t xml:space="preserve">32,886</w:t>
            </w:r>
          </w:p>
        </w:tc>
      </w:tr>
      <w:tr>
        <w:tc>
          <w:tcPr/>
          <w:p>
            <w:pPr>
              <w:pStyle w:val="Compact"/>
              <w:jc w:val="left"/>
            </w:pPr>
            <w:r>
              <w:t xml:space="preserve">games_year</w:t>
            </w:r>
          </w:p>
        </w:tc>
        <w:tc>
          <w:tcPr/>
          <w:p>
            <w:pPr>
              <w:pStyle w:val="Compact"/>
              <w:jc w:val="left"/>
            </w:pPr>
            <w:r>
              <w:t xml:space="preserve">Olympic</w:t>
            </w:r>
          </w:p>
        </w:tc>
        <w:tc>
          <w:tcPr/>
          <w:p>
            <w:pPr>
              <w:pStyle w:val="Compact"/>
              <w:jc w:val="left"/>
            </w:pPr>
            <w:r>
              <w:t xml:space="preserve">983</w:t>
            </w:r>
          </w:p>
        </w:tc>
        <w:tc>
          <w:tcPr/>
          <w:p>
            <w:pPr>
              <w:pStyle w:val="Compact"/>
              <w:jc w:val="left"/>
            </w:pPr>
            <w:r>
              <w:t xml:space="preserve">1,976</w:t>
            </w:r>
          </w:p>
        </w:tc>
        <w:tc>
          <w:tcPr/>
          <w:p>
            <w:pPr>
              <w:pStyle w:val="Compact"/>
              <w:jc w:val="left"/>
            </w:pPr>
            <w:r>
              <w:t xml:space="preserve">1,984</w:t>
            </w:r>
          </w:p>
        </w:tc>
        <w:tc>
          <w:tcPr/>
          <w:p>
            <w:pPr>
              <w:pStyle w:val="Compact"/>
              <w:jc w:val="left"/>
            </w:pPr>
            <w:r>
              <w:t xml:space="preserve">33</w:t>
            </w:r>
          </w:p>
        </w:tc>
        <w:tc>
          <w:tcPr/>
          <w:p>
            <w:pPr>
              <w:pStyle w:val="Compact"/>
              <w:jc w:val="left"/>
            </w:pPr>
            <w:r>
              <w:t xml:space="preserve">1,896</w:t>
            </w:r>
          </w:p>
        </w:tc>
        <w:tc>
          <w:tcPr/>
          <w:p>
            <w:pPr>
              <w:pStyle w:val="Compact"/>
              <w:jc w:val="left"/>
            </w:pPr>
            <w:r>
              <w:t xml:space="preserve">2,022</w:t>
            </w:r>
          </w:p>
        </w:tc>
      </w:tr>
    </w:tbl>
    <w:p/>
    <w:p>
      <w:pPr>
        <w:pStyle w:val="TableCaption"/>
      </w:pPr>
      <w:r>
        <w:t xml:space="preserve">Table 2. Frequencies and proportions for the main categorical</w:t>
      </w:r>
      <w:r>
        <w:t xml:space="preserve"> </w:t>
      </w:r>
      <w:r>
        <w:t xml:space="preserve">variables.</w:t>
      </w:r>
    </w:p>
    <w:tbl>
      <w:tblPr>
        <w:tblStyle w:val="Table"/>
        <w:tblW w:type="pct" w:w="4872"/>
        <w:tblLayout w:type="fixed"/>
        <w:tblLook w:firstRow="1" w:lastRow="0" w:firstColumn="0" w:lastColumn="0" w:noHBand="0" w:noVBand="0" w:val="0020"/>
        <w:tblCaption w:val="Table 2. Frequencies and proportions for the main categorical variables."/>
      </w:tblPr>
      <w:tblGrid>
        <w:gridCol w:w="1218"/>
        <w:gridCol w:w="1726"/>
        <w:gridCol w:w="1827"/>
        <w:gridCol w:w="1116"/>
        <w:gridCol w:w="1827"/>
      </w:tblGrid>
      <w:tr>
        <w:trPr>
          <w:tblHeader w:val="on"/>
        </w:trPr>
        <w:tc>
          <w:tcPr/>
          <w:p>
            <w:pPr>
              <w:pStyle w:val="Compact"/>
              <w:jc w:val="left"/>
            </w:pPr>
            <w:r>
              <w:t xml:space="preserve">Dataset</w:t>
            </w:r>
          </w:p>
        </w:tc>
        <w:tc>
          <w:tcPr/>
          <w:p>
            <w:pPr>
              <w:pStyle w:val="Compact"/>
              <w:jc w:val="left"/>
            </w:pPr>
            <w:r>
              <w:t xml:space="preserve">Variable</w:t>
            </w:r>
          </w:p>
        </w:tc>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w:t>
            </w:r>
          </w:p>
        </w:tc>
      </w:tr>
      <w:tr>
        <w:tc>
          <w:tcPr/>
          <w:p>
            <w:pPr>
              <w:pStyle w:val="Compact"/>
              <w:jc w:val="left"/>
            </w:pPr>
            <w:r>
              <w:t xml:space="preserve">World Cup</w:t>
            </w:r>
          </w:p>
        </w:tc>
        <w:tc>
          <w:tcPr/>
          <w:p>
            <w:pPr>
              <w:pStyle w:val="Compact"/>
              <w:jc w:val="left"/>
            </w:pPr>
            <w:r>
              <w:t xml:space="preserve">Build status</w:t>
            </w:r>
          </w:p>
        </w:tc>
        <w:tc>
          <w:tcPr/>
          <w:p>
            <w:pPr>
              <w:pStyle w:val="Compact"/>
              <w:jc w:val="left"/>
            </w:pPr>
            <w:r>
              <w:t xml:space="preserve">Existing</w:t>
            </w:r>
          </w:p>
        </w:tc>
        <w:tc>
          <w:tcPr/>
          <w:p>
            <w:pPr>
              <w:pStyle w:val="Compact"/>
              <w:jc w:val="left"/>
            </w:pPr>
            <w:r>
              <w:t xml:space="preserve">171</w:t>
            </w:r>
          </w:p>
        </w:tc>
        <w:tc>
          <w:tcPr/>
          <w:p>
            <w:pPr>
              <w:pStyle w:val="Compact"/>
              <w:jc w:val="left"/>
            </w:pPr>
            <w:r>
              <w:t xml:space="preserve">64.5</w:t>
            </w:r>
          </w:p>
        </w:tc>
      </w:tr>
      <w:tr>
        <w:tc>
          <w:tcPr/>
          <w:p>
            <w:pPr>
              <w:pStyle w:val="Compact"/>
              <w:jc w:val="left"/>
            </w:pPr>
            <w:r>
              <w:t xml:space="preserve">World Cup</w:t>
            </w:r>
          </w:p>
        </w:tc>
        <w:tc>
          <w:tcPr/>
          <w:p>
            <w:pPr>
              <w:pStyle w:val="Compact"/>
              <w:jc w:val="left"/>
            </w:pPr>
            <w:r>
              <w:t xml:space="preserve">Build status</w:t>
            </w:r>
          </w:p>
        </w:tc>
        <w:tc>
          <w:tcPr/>
          <w:p>
            <w:pPr>
              <w:pStyle w:val="Compact"/>
              <w:jc w:val="left"/>
            </w:pPr>
            <w:r>
              <w:t xml:space="preserve">New</w:t>
            </w:r>
          </w:p>
        </w:tc>
        <w:tc>
          <w:tcPr/>
          <w:p>
            <w:pPr>
              <w:pStyle w:val="Compact"/>
              <w:jc w:val="left"/>
            </w:pPr>
            <w:r>
              <w:t xml:space="preserve">94</w:t>
            </w:r>
          </w:p>
        </w:tc>
        <w:tc>
          <w:tcPr/>
          <w:p>
            <w:pPr>
              <w:pStyle w:val="Compact"/>
              <w:jc w:val="left"/>
            </w:pPr>
            <w:r>
              <w:t xml:space="preserve">35.5</w:t>
            </w:r>
          </w:p>
        </w:tc>
      </w:tr>
      <w:tr>
        <w:tc>
          <w:tcPr/>
          <w:p>
            <w:pPr>
              <w:pStyle w:val="Compact"/>
              <w:jc w:val="left"/>
            </w:pPr>
            <w:r>
              <w:t xml:space="preserve">World Cup</w:t>
            </w:r>
          </w:p>
        </w:tc>
        <w:tc>
          <w:tcPr/>
          <w:p>
            <w:pPr>
              <w:pStyle w:val="Compact"/>
              <w:jc w:val="left"/>
            </w:pPr>
            <w:r>
              <w:t xml:space="preserve">Design purpose</w:t>
            </w:r>
          </w:p>
        </w:tc>
        <w:tc>
          <w:tcPr/>
          <w:p>
            <w:pPr>
              <w:pStyle w:val="Compact"/>
              <w:jc w:val="left"/>
            </w:pPr>
            <w:r>
              <w:t xml:space="preserve">Multi-purpose</w:t>
            </w:r>
          </w:p>
        </w:tc>
        <w:tc>
          <w:tcPr/>
          <w:p>
            <w:pPr>
              <w:pStyle w:val="Compact"/>
              <w:jc w:val="left"/>
            </w:pPr>
            <w:r>
              <w:t xml:space="preserve">137</w:t>
            </w:r>
          </w:p>
        </w:tc>
        <w:tc>
          <w:tcPr/>
          <w:p>
            <w:pPr>
              <w:pStyle w:val="Compact"/>
              <w:jc w:val="left"/>
            </w:pPr>
            <w:r>
              <w:t xml:space="preserve">51.7</w:t>
            </w:r>
          </w:p>
        </w:tc>
      </w:tr>
      <w:tr>
        <w:tc>
          <w:tcPr/>
          <w:p>
            <w:pPr>
              <w:pStyle w:val="Compact"/>
              <w:jc w:val="left"/>
            </w:pPr>
            <w:r>
              <w:t xml:space="preserve">World Cup</w:t>
            </w:r>
          </w:p>
        </w:tc>
        <w:tc>
          <w:tcPr/>
          <w:p>
            <w:pPr>
              <w:pStyle w:val="Compact"/>
              <w:jc w:val="left"/>
            </w:pPr>
            <w:r>
              <w:t xml:space="preserve">Design purpose</w:t>
            </w:r>
          </w:p>
        </w:tc>
        <w:tc>
          <w:tcPr/>
          <w:p>
            <w:pPr>
              <w:pStyle w:val="Compact"/>
              <w:jc w:val="left"/>
            </w:pPr>
            <w:r>
              <w:t xml:space="preserve">Single-purpose</w:t>
            </w:r>
          </w:p>
        </w:tc>
        <w:tc>
          <w:tcPr/>
          <w:p>
            <w:pPr>
              <w:pStyle w:val="Compact"/>
              <w:jc w:val="left"/>
            </w:pPr>
            <w:r>
              <w:t xml:space="preserve">128</w:t>
            </w:r>
          </w:p>
        </w:tc>
        <w:tc>
          <w:tcPr/>
          <w:p>
            <w:pPr>
              <w:pStyle w:val="Compact"/>
              <w:jc w:val="left"/>
            </w:pPr>
            <w:r>
              <w:t xml:space="preserve">48.3</w:t>
            </w:r>
          </w:p>
        </w:tc>
      </w:tr>
      <w:tr>
        <w:tc>
          <w:tcPr/>
          <w:p>
            <w:pPr>
              <w:pStyle w:val="Compact"/>
              <w:jc w:val="left"/>
            </w:pPr>
            <w:r>
              <w:t xml:space="preserve">World Cup</w:t>
            </w:r>
          </w:p>
        </w:tc>
        <w:tc>
          <w:tcPr/>
          <w:p>
            <w:pPr>
              <w:pStyle w:val="Compact"/>
              <w:jc w:val="left"/>
            </w:pPr>
            <w:r>
              <w:t xml:space="preserve">Current status</w:t>
            </w:r>
          </w:p>
        </w:tc>
        <w:tc>
          <w:tcPr/>
          <w:p>
            <w:pPr>
              <w:pStyle w:val="Compact"/>
              <w:jc w:val="left"/>
            </w:pPr>
            <w:r>
              <w:t xml:space="preserve">In use</w:t>
            </w:r>
          </w:p>
        </w:tc>
        <w:tc>
          <w:tcPr/>
          <w:p>
            <w:pPr>
              <w:pStyle w:val="Compact"/>
              <w:jc w:val="left"/>
            </w:pPr>
            <w:r>
              <w:t xml:space="preserve">238</w:t>
            </w:r>
          </w:p>
        </w:tc>
        <w:tc>
          <w:tcPr/>
          <w:p>
            <w:pPr>
              <w:pStyle w:val="Compact"/>
              <w:jc w:val="left"/>
            </w:pPr>
            <w:r>
              <w:t xml:space="preserve">89.8</w:t>
            </w:r>
          </w:p>
        </w:tc>
      </w:tr>
      <w:tr>
        <w:tc>
          <w:tcPr/>
          <w:p>
            <w:pPr>
              <w:pStyle w:val="Compact"/>
              <w:jc w:val="left"/>
            </w:pPr>
            <w:r>
              <w:t xml:space="preserve">World Cup</w:t>
            </w:r>
          </w:p>
        </w:tc>
        <w:tc>
          <w:tcPr/>
          <w:p>
            <w:pPr>
              <w:pStyle w:val="Compact"/>
              <w:jc w:val="left"/>
            </w:pPr>
            <w:r>
              <w:t xml:space="preserve">Current status</w:t>
            </w:r>
          </w:p>
        </w:tc>
        <w:tc>
          <w:tcPr/>
          <w:p>
            <w:pPr>
              <w:pStyle w:val="Compact"/>
              <w:jc w:val="left"/>
            </w:pPr>
            <w:r>
              <w:t xml:space="preserve">Not in use</w:t>
            </w:r>
          </w:p>
        </w:tc>
        <w:tc>
          <w:tcPr/>
          <w:p>
            <w:pPr>
              <w:pStyle w:val="Compact"/>
              <w:jc w:val="left"/>
            </w:pPr>
            <w:r>
              <w:t xml:space="preserve">27</w:t>
            </w:r>
          </w:p>
        </w:tc>
        <w:tc>
          <w:tcPr/>
          <w:p>
            <w:pPr>
              <w:pStyle w:val="Compact"/>
              <w:jc w:val="left"/>
            </w:pPr>
            <w:r>
              <w:t xml:space="preserve">10.2</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Existing</w:t>
            </w:r>
          </w:p>
        </w:tc>
        <w:tc>
          <w:tcPr/>
          <w:p>
            <w:pPr>
              <w:pStyle w:val="Compact"/>
              <w:jc w:val="left"/>
            </w:pPr>
            <w:r>
              <w:t xml:space="preserve">473</w:t>
            </w:r>
          </w:p>
        </w:tc>
        <w:tc>
          <w:tcPr/>
          <w:p>
            <w:pPr>
              <w:pStyle w:val="Compact"/>
              <w:jc w:val="left"/>
            </w:pPr>
            <w:r>
              <w:t xml:space="preserve">48.1</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New</w:t>
            </w:r>
          </w:p>
        </w:tc>
        <w:tc>
          <w:tcPr/>
          <w:p>
            <w:pPr>
              <w:pStyle w:val="Compact"/>
              <w:jc w:val="left"/>
            </w:pPr>
            <w:r>
              <w:t xml:space="preserve">388</w:t>
            </w:r>
          </w:p>
        </w:tc>
        <w:tc>
          <w:tcPr/>
          <w:p>
            <w:pPr>
              <w:pStyle w:val="Compact"/>
              <w:jc w:val="left"/>
            </w:pPr>
            <w:r>
              <w:t xml:space="preserve">39.5</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Temporary</w:t>
            </w:r>
          </w:p>
        </w:tc>
        <w:tc>
          <w:tcPr/>
          <w:p>
            <w:pPr>
              <w:pStyle w:val="Compact"/>
              <w:jc w:val="left"/>
            </w:pPr>
            <w:r>
              <w:t xml:space="preserve">113</w:t>
            </w:r>
          </w:p>
        </w:tc>
        <w:tc>
          <w:tcPr/>
          <w:p>
            <w:pPr>
              <w:pStyle w:val="Compact"/>
              <w:jc w:val="left"/>
            </w:pPr>
            <w:r>
              <w:t xml:space="preserve">11.5</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Mixed</w:t>
            </w:r>
          </w:p>
        </w:tc>
        <w:tc>
          <w:tcPr/>
          <w:p>
            <w:pPr>
              <w:pStyle w:val="Compact"/>
              <w:jc w:val="left"/>
            </w:pPr>
            <w:r>
              <w:t xml:space="preserve">9</w:t>
            </w:r>
          </w:p>
        </w:tc>
        <w:tc>
          <w:tcPr/>
          <w:p>
            <w:pPr>
              <w:pStyle w:val="Compact"/>
              <w:jc w:val="left"/>
            </w:pPr>
            <w:r>
              <w:t xml:space="preserve">0.9</w:t>
            </w:r>
          </w:p>
        </w:tc>
      </w:tr>
      <w:tr>
        <w:tc>
          <w:tcPr/>
          <w:p>
            <w:pPr>
              <w:pStyle w:val="Compact"/>
              <w:jc w:val="left"/>
            </w:pPr>
            <w:r>
              <w:t xml:space="preserve">Olympic</w:t>
            </w:r>
          </w:p>
        </w:tc>
        <w:tc>
          <w:tcPr/>
          <w:p>
            <w:pPr>
              <w:pStyle w:val="Compact"/>
              <w:jc w:val="left"/>
            </w:pPr>
            <w:r>
              <w:t xml:space="preserve">Current status</w:t>
            </w:r>
          </w:p>
        </w:tc>
        <w:tc>
          <w:tcPr/>
          <w:p>
            <w:pPr>
              <w:pStyle w:val="Compact"/>
              <w:jc w:val="left"/>
            </w:pPr>
            <w:r>
              <w:t xml:space="preserve">In use</w:t>
            </w:r>
          </w:p>
        </w:tc>
        <w:tc>
          <w:tcPr/>
          <w:p>
            <w:pPr>
              <w:pStyle w:val="Compact"/>
              <w:jc w:val="left"/>
            </w:pPr>
            <w:r>
              <w:t xml:space="preserve">757</w:t>
            </w:r>
          </w:p>
        </w:tc>
        <w:tc>
          <w:tcPr/>
          <w:p>
            <w:pPr>
              <w:pStyle w:val="Compact"/>
              <w:jc w:val="left"/>
            </w:pPr>
            <w:r>
              <w:t xml:space="preserve">77.0</w:t>
            </w:r>
          </w:p>
        </w:tc>
      </w:tr>
      <w:tr>
        <w:tc>
          <w:tcPr/>
          <w:p>
            <w:pPr>
              <w:pStyle w:val="Compact"/>
              <w:jc w:val="left"/>
            </w:pPr>
            <w:r>
              <w:t xml:space="preserve">Olympic</w:t>
            </w:r>
          </w:p>
        </w:tc>
        <w:tc>
          <w:tcPr/>
          <w:p>
            <w:pPr>
              <w:pStyle w:val="Compact"/>
              <w:jc w:val="left"/>
            </w:pPr>
            <w:r>
              <w:t xml:space="preserve">Current status</w:t>
            </w:r>
          </w:p>
        </w:tc>
        <w:tc>
          <w:tcPr/>
          <w:p>
            <w:pPr>
              <w:pStyle w:val="Compact"/>
              <w:jc w:val="left"/>
            </w:pPr>
            <w:r>
              <w:t xml:space="preserve">Not in use</w:t>
            </w:r>
          </w:p>
        </w:tc>
        <w:tc>
          <w:tcPr/>
          <w:p>
            <w:pPr>
              <w:pStyle w:val="Compact"/>
              <w:jc w:val="left"/>
            </w:pPr>
            <w:r>
              <w:t xml:space="preserve">123</w:t>
            </w:r>
          </w:p>
        </w:tc>
        <w:tc>
          <w:tcPr/>
          <w:p>
            <w:pPr>
              <w:pStyle w:val="Compact"/>
              <w:jc w:val="left"/>
            </w:pPr>
            <w:r>
              <w:t xml:space="preserve">12.5</w:t>
            </w:r>
          </w:p>
        </w:tc>
      </w:tr>
      <w:tr>
        <w:tc>
          <w:tcPr/>
          <w:p>
            <w:pPr>
              <w:pStyle w:val="Compact"/>
              <w:jc w:val="left"/>
            </w:pPr>
            <w:r>
              <w:t xml:space="preserve">Olympic</w:t>
            </w:r>
          </w:p>
        </w:tc>
        <w:tc>
          <w:tcPr/>
          <w:p>
            <w:pPr>
              <w:pStyle w:val="Compact"/>
              <w:jc w:val="left"/>
            </w:pPr>
            <w:r>
              <w:t xml:space="preserve">Current status</w:t>
            </w:r>
          </w:p>
        </w:tc>
        <w:tc>
          <w:tcPr/>
          <w:p>
            <w:pPr>
              <w:pStyle w:val="Compact"/>
              <w:jc w:val="left"/>
            </w:pPr>
            <w:r>
              <w:t xml:space="preserve">Dismantled</w:t>
            </w:r>
          </w:p>
        </w:tc>
        <w:tc>
          <w:tcPr/>
          <w:p>
            <w:pPr>
              <w:pStyle w:val="Compact"/>
              <w:jc w:val="left"/>
            </w:pPr>
            <w:r>
              <w:t xml:space="preserve">103</w:t>
            </w:r>
          </w:p>
        </w:tc>
        <w:tc>
          <w:tcPr/>
          <w:p>
            <w:pPr>
              <w:pStyle w:val="Compact"/>
              <w:jc w:val="left"/>
            </w:pPr>
            <w:r>
              <w:t xml:space="preserve">10.5</w:t>
            </w:r>
          </w:p>
        </w:tc>
      </w:tr>
    </w:tbl>
    <w:p>
      <w:pPr>
        <w:pStyle w:val="BodyText"/>
      </w:pPr>
      <w:r>
        <w:rPr>
          <w:b/>
          <w:bCs/>
        </w:rPr>
        <w:t xml:space="preserve">Coverage:</w:t>
      </w:r>
      <w:r>
        <w:t xml:space="preserve"> </w:t>
      </w:r>
      <w:r>
        <w:t xml:space="preserve">Figure 1 shows how the venues spread across regions, and</w:t>
      </w:r>
      <w:r>
        <w:t xml:space="preserve"> </w:t>
      </w:r>
      <w:r>
        <w:t xml:space="preserve">Figure 2 shows the same by era. Both make the same point: the data is</w:t>
      </w:r>
      <w:r>
        <w:t xml:space="preserve"> </w:t>
      </w:r>
      <w:r>
        <w:t xml:space="preserve">uneven. Most venues sit in Western Europe and in the postwar era, and</w:t>
      </w:r>
      <w:r>
        <w:t xml:space="preserve"> </w:t>
      </w:r>
      <w:r>
        <w:t xml:space="preserve">some region-and-era combinations have almost nothing in them. That</w:t>
      </w:r>
      <w:r>
        <w:t xml:space="preserve"> </w:t>
      </w:r>
      <w:r>
        <w:t xml:space="preserve">matters because we plan to test the model separately by region and era,</w:t>
      </w:r>
      <w:r>
        <w:t xml:space="preserve"> </w:t>
      </w:r>
      <w:r>
        <w:t xml:space="preserve">and a group with only a few venues cannot tell us much. Figure 3 shows</w:t>
      </w:r>
      <w:r>
        <w:t xml:space="preserve"> </w:t>
      </w:r>
      <w:r>
        <w:t xml:space="preserve">the capacity distribution and its right-skew directly. Figure 4 compares</w:t>
      </w:r>
      <w:r>
        <w:t xml:space="preserve"> </w:t>
      </w:r>
      <w:r>
        <w:t xml:space="preserve">host GDP per capita for the two events on a log scale.</w:t>
      </w:r>
    </w:p>
    <w:p>
      <w:pPr>
        <w:pStyle w:val="CaptionedFigure"/>
      </w:pPr>
      <w:r>
        <w:drawing>
          <wp:inline>
            <wp:extent cx="4754880" cy="3011424"/>
            <wp:effectExtent b="0" l="0" r="0" t="0"/>
            <wp:docPr descr="Figure 1. World Cup venue counts by region." title="" id="15" name="Picture"/>
            <a:graphic>
              <a:graphicData uri="http://schemas.openxmlformats.org/drawingml/2006/picture">
                <pic:pic>
                  <pic:nvPicPr>
                    <pic:cNvPr descr="figs/fig1_wc_region.png" id="16" name="Picture"/>
                    <pic:cNvPicPr>
                      <a:picLocks noChangeArrowheads="1" noChangeAspect="1"/>
                    </pic:cNvPicPr>
                  </pic:nvPicPr>
                  <pic:blipFill>
                    <a:blip r:embed="rId14"/>
                    <a:stretch>
                      <a:fillRect/>
                    </a:stretch>
                  </pic:blipFill>
                  <pic:spPr bwMode="auto">
                    <a:xfrm>
                      <a:off x="0" y="0"/>
                      <a:ext cx="4754880" cy="3011424"/>
                    </a:xfrm>
                    <a:prstGeom prst="rect">
                      <a:avLst/>
                    </a:prstGeom>
                    <a:noFill/>
                    <a:ln w="9525">
                      <a:noFill/>
                      <a:headEnd/>
                      <a:tailEnd/>
                    </a:ln>
                  </pic:spPr>
                </pic:pic>
              </a:graphicData>
            </a:graphic>
          </wp:inline>
        </w:drawing>
      </w:r>
    </w:p>
    <w:p>
      <w:pPr>
        <w:pStyle w:val="ImageCaption"/>
      </w:pPr>
      <w:r>
        <w:t xml:space="preserve">Figure 1. World Cup venue counts by</w:t>
      </w:r>
      <w:r>
        <w:t xml:space="preserve"> </w:t>
      </w:r>
      <w:r>
        <w:t xml:space="preserve">region.</w:t>
      </w:r>
    </w:p>
    <w:p>
      <w:pPr>
        <w:pStyle w:val="CaptionedFigure"/>
      </w:pPr>
      <w:r>
        <w:drawing>
          <wp:inline>
            <wp:extent cx="4754880" cy="2852928"/>
            <wp:effectExtent b="0" l="0" r="0" t="0"/>
            <wp:docPr descr="Figure 2. Venue counts by era, World Cup and Olympic, where pre-WWII is 1945 and earlier, postwar is 1946 to 2000, and recent is 2001 onward." title="" id="18" name="Picture"/>
            <a:graphic>
              <a:graphicData uri="http://schemas.openxmlformats.org/drawingml/2006/picture">
                <pic:pic>
                  <pic:nvPicPr>
                    <pic:cNvPr descr="figs/fig2_era.png" id="19" name="Picture"/>
                    <pic:cNvPicPr>
                      <a:picLocks noChangeArrowheads="1" noChangeAspect="1"/>
                    </pic:cNvPicPr>
                  </pic:nvPicPr>
                  <pic:blipFill>
                    <a:blip r:embed="rId17"/>
                    <a:stretch>
                      <a:fillRect/>
                    </a:stretch>
                  </pic:blipFill>
                  <pic:spPr bwMode="auto">
                    <a:xfrm>
                      <a:off x="0" y="0"/>
                      <a:ext cx="4754880" cy="2852928"/>
                    </a:xfrm>
                    <a:prstGeom prst="rect">
                      <a:avLst/>
                    </a:prstGeom>
                    <a:noFill/>
                    <a:ln w="9525">
                      <a:noFill/>
                      <a:headEnd/>
                      <a:tailEnd/>
                    </a:ln>
                  </pic:spPr>
                </pic:pic>
              </a:graphicData>
            </a:graphic>
          </wp:inline>
        </w:drawing>
      </w:r>
    </w:p>
    <w:p>
      <w:pPr>
        <w:pStyle w:val="ImageCaption"/>
      </w:pPr>
      <w:r>
        <w:t xml:space="preserve">Figure 2. Venue counts by era, World Cup and Olympic, where pre-WWII</w:t>
      </w:r>
      <w:r>
        <w:t xml:space="preserve"> </w:t>
      </w:r>
      <w:r>
        <w:t xml:space="preserve">is 1945 and earlier, postwar is 1946 to 2000, and recent is 2001</w:t>
      </w:r>
      <w:r>
        <w:t xml:space="preserve"> </w:t>
      </w:r>
      <w:r>
        <w:t xml:space="preserve">onward.</w:t>
      </w:r>
    </w:p>
    <w:p>
      <w:pPr>
        <w:pStyle w:val="CaptionedFigure"/>
      </w:pPr>
      <w:r>
        <w:drawing>
          <wp:inline>
            <wp:extent cx="4754880" cy="2852928"/>
            <wp:effectExtent b="0" l="0" r="0" t="0"/>
            <wp:docPr descr="Figure 3. Distribution of World Cup stadium capacity." title="" id="21" name="Picture"/>
            <a:graphic>
              <a:graphicData uri="http://schemas.openxmlformats.org/drawingml/2006/picture">
                <pic:pic>
                  <pic:nvPicPr>
                    <pic:cNvPr descr="figs/fig3_wc_capacity.png" id="22" name="Picture"/>
                    <pic:cNvPicPr>
                      <a:picLocks noChangeArrowheads="1" noChangeAspect="1"/>
                    </pic:cNvPicPr>
                  </pic:nvPicPr>
                  <pic:blipFill>
                    <a:blip r:embed="rId20"/>
                    <a:stretch>
                      <a:fillRect/>
                    </a:stretch>
                  </pic:blipFill>
                  <pic:spPr bwMode="auto">
                    <a:xfrm>
                      <a:off x="0" y="0"/>
                      <a:ext cx="4754880" cy="2852928"/>
                    </a:xfrm>
                    <a:prstGeom prst="rect">
                      <a:avLst/>
                    </a:prstGeom>
                    <a:noFill/>
                    <a:ln w="9525">
                      <a:noFill/>
                      <a:headEnd/>
                      <a:tailEnd/>
                    </a:ln>
                  </pic:spPr>
                </pic:pic>
              </a:graphicData>
            </a:graphic>
          </wp:inline>
        </w:drawing>
      </w:r>
    </w:p>
    <w:p>
      <w:pPr>
        <w:pStyle w:val="ImageCaption"/>
      </w:pPr>
      <w:r>
        <w:t xml:space="preserve">Figure 3. Distribution of World Cup stadium</w:t>
      </w:r>
      <w:r>
        <w:t xml:space="preserve"> </w:t>
      </w:r>
      <w:r>
        <w:t xml:space="preserve">capacity.</w:t>
      </w:r>
    </w:p>
    <w:p>
      <w:pPr>
        <w:pStyle w:val="CaptionedFigure"/>
      </w:pPr>
      <w:r>
        <w:drawing>
          <wp:inline>
            <wp:extent cx="4754880" cy="2852928"/>
            <wp:effectExtent b="0" l="0" r="0" t="0"/>
            <wp:docPr descr="Figure 4. Host GDP per capita at award year, by event, on a log scale." title="" id="24" name="Picture"/>
            <a:graphic>
              <a:graphicData uri="http://schemas.openxmlformats.org/drawingml/2006/picture">
                <pic:pic>
                  <pic:nvPicPr>
                    <pic:cNvPr descr="figs/fig4_gdp_log.png" id="25" name="Picture"/>
                    <pic:cNvPicPr>
                      <a:picLocks noChangeArrowheads="1" noChangeAspect="1"/>
                    </pic:cNvPicPr>
                  </pic:nvPicPr>
                  <pic:blipFill>
                    <a:blip r:embed="rId23"/>
                    <a:stretch>
                      <a:fillRect/>
                    </a:stretch>
                  </pic:blipFill>
                  <pic:spPr bwMode="auto">
                    <a:xfrm>
                      <a:off x="0" y="0"/>
                      <a:ext cx="4754880" cy="2852928"/>
                    </a:xfrm>
                    <a:prstGeom prst="rect">
                      <a:avLst/>
                    </a:prstGeom>
                    <a:noFill/>
                    <a:ln w="9525">
                      <a:noFill/>
                      <a:headEnd/>
                      <a:tailEnd/>
                    </a:ln>
                  </pic:spPr>
                </pic:pic>
              </a:graphicData>
            </a:graphic>
          </wp:inline>
        </w:drawing>
      </w:r>
    </w:p>
    <w:p>
      <w:pPr>
        <w:pStyle w:val="ImageCaption"/>
      </w:pPr>
      <w:r>
        <w:t xml:space="preserve">Figure 4. Host GDP per capita at award year, by event, on a log</w:t>
      </w:r>
      <w:r>
        <w:t xml:space="preserve"> </w:t>
      </w:r>
      <w:r>
        <w:t xml:space="preserve">scale.</w:t>
      </w:r>
    </w:p>
    <w:bookmarkEnd w:id="26"/>
    <w:bookmarkStart w:id="36" w:name="how-the-outcome-relates-to-each-factor"/>
    <w:p>
      <w:pPr>
        <w:pStyle w:val="Heading2"/>
      </w:pPr>
      <w:r>
        <w:t xml:space="preserve">How the outcome relates to each factor</w:t>
      </w:r>
    </w:p>
    <w:p>
      <w:pPr>
        <w:pStyle w:val="FirstParagraph"/>
      </w:pPr>
      <w:r>
        <w:t xml:space="preserve">Everything above describes the data one variable at a time. This section</w:t>
      </w:r>
      <w:r>
        <w:t xml:space="preserve"> </w:t>
      </w:r>
      <w:r>
        <w:t xml:space="preserve">compares each factor against the outcome, and it is where the two events</w:t>
      </w:r>
      <w:r>
        <w:t xml:space="preserve"> </w:t>
      </w:r>
      <w:r>
        <w:t xml:space="preserve">start to look different from each other.</w:t>
      </w:r>
    </w:p>
    <w:p>
      <w:pPr>
        <w:pStyle w:val="BodyText"/>
      </w:pPr>
      <w:r>
        <w:rPr>
          <w:b/>
          <w:bCs/>
        </w:rPr>
        <w:t xml:space="preserve">The hypothesis runs backwards, on both sides:</w:t>
      </w:r>
      <w:r>
        <w:t xml:space="preserve"> </w:t>
      </w:r>
      <w:r>
        <w:t xml:space="preserve">Figure 5 is the one we</w:t>
      </w:r>
      <w:r>
        <w:t xml:space="preserve"> </w:t>
      </w:r>
      <w:r>
        <w:t xml:space="preserve">did not expect. It compares whether a World Cup venue was newly built</w:t>
      </w:r>
      <w:r>
        <w:t xml:space="preserve"> </w:t>
      </w:r>
      <w:r>
        <w:t xml:space="preserve">against whether it is still in use. The raw pattern runs the opposite</w:t>
      </w:r>
      <w:r>
        <w:t xml:space="preserve"> </w:t>
      </w:r>
      <w:r>
        <w:t xml:space="preserve">way from our hypothesis: existing venues are out of use more often</w:t>
      </w:r>
      <w:r>
        <w:t xml:space="preserve"> </w:t>
      </w:r>
      <w:r>
        <w:t xml:space="preserve">(14.6%) than newly built ones (2.1%). Figure 6 asks the same</w:t>
      </w:r>
      <w:r>
        <w:t xml:space="preserve"> </w:t>
      </w:r>
      <w:r>
        <w:t xml:space="preserve">question of the Olympic venues and finds the same direction, existing</w:t>
      </w:r>
      <w:r>
        <w:t xml:space="preserve"> </w:t>
      </w:r>
      <w:r>
        <w:t xml:space="preserve">16.7% against newly built 11.1%, but a much narrower gap. The direction</w:t>
      </w:r>
      <w:r>
        <w:t xml:space="preserve"> </w:t>
      </w:r>
      <w:r>
        <w:t xml:space="preserve">holding on both sides while the size of the gap changes is itself a</w:t>
      </w:r>
      <w:r>
        <w:t xml:space="preserve"> </w:t>
      </w:r>
      <w:r>
        <w:t xml:space="preserve">finding: on the Olympic side build status barely sorts the venues at</w:t>
      </w:r>
      <w:r>
        <w:t xml:space="preserve"> </w:t>
      </w:r>
      <w:r>
        <w:t xml:space="preserve">all.</w:t>
      </w:r>
    </w:p>
    <w:p>
      <w:pPr>
        <w:pStyle w:val="CaptionedFigure"/>
      </w:pPr>
      <w:r>
        <w:drawing>
          <wp:inline>
            <wp:extent cx="4572000" cy="3532909"/>
            <wp:effectExtent b="0" l="0" r="0" t="0"/>
            <wp:docPr descr="Figure 5. World Cup venues: share not in use, by build status." title="" id="28" name="Picture"/>
            <a:graphic>
              <a:graphicData uri="http://schemas.openxmlformats.org/drawingml/2006/picture">
                <pic:pic>
                  <pic:nvPicPr>
                    <pic:cNvPr descr="figs/fig5_wc_build_status.png" id="29" name="Picture"/>
                    <pic:cNvPicPr>
                      <a:picLocks noChangeArrowheads="1" noChangeAspect="1"/>
                    </pic:cNvPicPr>
                  </pic:nvPicPr>
                  <pic:blipFill>
                    <a:blip r:embed="rId27"/>
                    <a:stretch>
                      <a:fillRect/>
                    </a:stretch>
                  </pic:blipFill>
                  <pic:spPr bwMode="auto">
                    <a:xfrm>
                      <a:off x="0" y="0"/>
                      <a:ext cx="4572000" cy="3532909"/>
                    </a:xfrm>
                    <a:prstGeom prst="rect">
                      <a:avLst/>
                    </a:prstGeom>
                    <a:noFill/>
                    <a:ln w="9525">
                      <a:noFill/>
                      <a:headEnd/>
                      <a:tailEnd/>
                    </a:ln>
                  </pic:spPr>
                </pic:pic>
              </a:graphicData>
            </a:graphic>
          </wp:inline>
        </w:drawing>
      </w:r>
    </w:p>
    <w:p>
      <w:pPr>
        <w:pStyle w:val="ImageCaption"/>
      </w:pPr>
      <w:r>
        <w:t xml:space="preserve">Figure 5. World Cup venues: share not in use, by build</w:t>
      </w:r>
      <w:r>
        <w:t xml:space="preserve"> </w:t>
      </w:r>
      <w:r>
        <w:t xml:space="preserve">status.</w:t>
      </w:r>
    </w:p>
    <w:p>
      <w:pPr>
        <w:pStyle w:val="CaptionedFigure"/>
      </w:pPr>
      <w:r>
        <w:drawing>
          <wp:inline>
            <wp:extent cx="4846320" cy="2761488"/>
            <wp:effectExtent b="0" l="0" r="0" t="0"/>
            <wp:docPr descr="Figure 6. Share of Olympic venues left unused after the Games, by venue type. “Existing” venues stood before the Games, “New” venues were built for them. Temporary venues are excluded." title="" id="31" name="Picture"/>
            <a:graphic>
              <a:graphicData uri="http://schemas.openxmlformats.org/drawingml/2006/picture">
                <pic:pic>
                  <pic:nvPicPr>
                    <pic:cNvPr descr="figs/fig6_oly_build_status.png" id="32" name="Picture"/>
                    <pic:cNvPicPr>
                      <a:picLocks noChangeArrowheads="1" noChangeAspect="1"/>
                    </pic:cNvPicPr>
                  </pic:nvPicPr>
                  <pic:blipFill>
                    <a:blip r:embed="rId30"/>
                    <a:stretch>
                      <a:fillRect/>
                    </a:stretch>
                  </pic:blipFill>
                  <pic:spPr bwMode="auto">
                    <a:xfrm>
                      <a:off x="0" y="0"/>
                      <a:ext cx="4846320" cy="2761488"/>
                    </a:xfrm>
                    <a:prstGeom prst="rect">
                      <a:avLst/>
                    </a:prstGeom>
                    <a:noFill/>
                    <a:ln w="9525">
                      <a:noFill/>
                      <a:headEnd/>
                      <a:tailEnd/>
                    </a:ln>
                  </pic:spPr>
                </pic:pic>
              </a:graphicData>
            </a:graphic>
          </wp:inline>
        </w:drawing>
      </w:r>
    </w:p>
    <w:p>
      <w:pPr>
        <w:pStyle w:val="ImageCaption"/>
      </w:pPr>
      <w:r>
        <w:t xml:space="preserve">Figure 6. Share of Olympic venues left unused after the Games, by</w:t>
      </w:r>
      <w:r>
        <w:t xml:space="preserve"> </w:t>
      </w:r>
      <w:r>
        <w:t xml:space="preserve">venue type.</w:t>
      </w:r>
      <w:r>
        <w:t xml:space="preserve"> </w:t>
      </w:r>
      <w:r>
        <w:t xml:space="preserve">“Existing”</w:t>
      </w:r>
      <w:r>
        <w:t xml:space="preserve"> </w:t>
      </w:r>
      <w:r>
        <w:t xml:space="preserve">venues stood before the Games,</w:t>
      </w:r>
      <w:r>
        <w:t xml:space="preserve"> </w:t>
      </w:r>
      <w:r>
        <w:t xml:space="preserve">“New”</w:t>
      </w:r>
      <w:r>
        <w:t xml:space="preserve"> </w:t>
      </w:r>
      <w:r>
        <w:t xml:space="preserve">venues were</w:t>
      </w:r>
      <w:r>
        <w:t xml:space="preserve"> </w:t>
      </w:r>
      <w:r>
        <w:t xml:space="preserve">built for them. Temporary venues are</w:t>
      </w:r>
      <w:r>
        <w:t xml:space="preserve"> </w:t>
      </w:r>
      <w:r>
        <w:t xml:space="preserve">excluded.</w:t>
      </w:r>
    </w:p>
    <w:p>
      <w:pPr>
        <w:pStyle w:val="BodyText"/>
      </w:pPr>
      <w:r>
        <w:t xml:space="preserve">The reason the World Cup gap is so wide is in the detail. Most of the</w:t>
      </w:r>
      <w:r>
        <w:t xml:space="preserve"> </w:t>
      </w:r>
      <w:r>
        <w:t xml:space="preserve">“not in use”</w:t>
      </w:r>
      <w:r>
        <w:t xml:space="preserve"> </w:t>
      </w:r>
      <w:r>
        <w:t xml:space="preserve">World Cup venues (17 of 27) were simply replaced by a newer</w:t>
      </w:r>
      <w:r>
        <w:t xml:space="preserve"> </w:t>
      </w:r>
      <w:r>
        <w:t xml:space="preserve">stadium. Those are mostly old existing grounds that aged out, not new</w:t>
      </w:r>
      <w:r>
        <w:t xml:space="preserve"> </w:t>
      </w:r>
      <w:r>
        <w:t xml:space="preserve">stadiums that never worked. Only three venues are actual abandonment,</w:t>
      </w:r>
      <w:r>
        <w:t xml:space="preserve"> </w:t>
      </w:r>
      <w:r>
        <w:t xml:space="preserve">which is the failure our project is about. This is the clearest lesson</w:t>
      </w:r>
      <w:r>
        <w:t xml:space="preserve"> </w:t>
      </w:r>
      <w:r>
        <w:t xml:space="preserve">of this first look: raw</w:t>
      </w:r>
      <w:r>
        <w:t xml:space="preserve"> </w:t>
      </w:r>
      <w:r>
        <w:t xml:space="preserve">“not in use”</w:t>
      </w:r>
      <w:r>
        <w:t xml:space="preserve"> </w:t>
      </w:r>
      <w:r>
        <w:t xml:space="preserve">is not the same as being a white</w:t>
      </w:r>
      <w:r>
        <w:t xml:space="preserve"> </w:t>
      </w:r>
      <w:r>
        <w:t xml:space="preserve">elephant. We have to build the thing we are trying to predict (our</w:t>
      </w:r>
      <w:r>
        <w:t xml:space="preserve"> </w:t>
      </w:r>
      <w:r>
        <w:t xml:space="preserve">target) from the reason a venue closed, not just from its status. We</w:t>
      </w:r>
      <w:r>
        <w:t xml:space="preserve"> </w:t>
      </w:r>
      <w:r>
        <w:t xml:space="preserve">have that reason on the World Cup side and not</w:t>
      </w:r>
      <w:r>
        <w:t xml:space="preserve"> </w:t>
      </w:r>
      <w:r>
        <w:t xml:space="preserve">yet on the Olympic side, which is a large part of why the two gaps are</w:t>
      </w:r>
      <w:r>
        <w:t xml:space="preserve"> </w:t>
      </w:r>
      <w:r>
        <w:t xml:space="preserve">not directly comparable.</w:t>
      </w:r>
    </w:p>
    <w:p>
      <w:pPr>
        <w:pStyle w:val="BodyText"/>
      </w:pPr>
      <w:r>
        <w:t xml:space="preserve">The most likely explanation is age: existing venues tend to be older and</w:t>
      </w:r>
      <w:r>
        <w:t xml:space="preserve"> </w:t>
      </w:r>
      <w:r>
        <w:t xml:space="preserve">have simply had more time to fall out of use, a point the next finding</w:t>
      </w:r>
      <w:r>
        <w:t xml:space="preserve"> </w:t>
      </w:r>
      <w:r>
        <w:t xml:space="preserve">supports.</w:t>
      </w:r>
    </w:p>
    <w:p>
      <w:pPr>
        <w:pStyle w:val="BodyText"/>
      </w:pPr>
      <w:r>
        <w:rPr>
          <w:b/>
          <w:bCs/>
        </w:rPr>
        <w:t xml:space="preserve">The share of venues left unused falls over time, but part of that fall</w:t>
      </w:r>
      <w:r>
        <w:rPr>
          <w:b/>
          <w:bCs/>
        </w:rPr>
        <w:t xml:space="preserve"> </w:t>
      </w:r>
      <w:r>
        <w:rPr>
          <w:b/>
          <w:bCs/>
        </w:rPr>
        <w:t xml:space="preserve">is misleading:</w:t>
      </w:r>
      <w:r>
        <w:t xml:space="preserve"> </w:t>
      </w:r>
      <w:r>
        <w:t xml:space="preserve">Figure 7 plots each Olympic edition against the year it</w:t>
      </w:r>
      <w:r>
        <w:t xml:space="preserve"> </w:t>
      </w:r>
      <w:r>
        <w:t xml:space="preserve">was held. The share declines steadily, from roughly 30% to 40% in the</w:t>
      </w:r>
      <w:r>
        <w:t xml:space="preserve"> </w:t>
      </w:r>
      <w:r>
        <w:t xml:space="preserve">early editions down to near zero in the most recent ones. This decline</w:t>
      </w:r>
      <w:r>
        <w:t xml:space="preserve"> </w:t>
      </w:r>
      <w:r>
        <w:t xml:space="preserve">is partly genuine and partly a caution: venues from recent events have</w:t>
      </w:r>
      <w:r>
        <w:t xml:space="preserve"> </w:t>
      </w:r>
      <w:r>
        <w:t xml:space="preserve">little time to fall out of use, so recent editions can look safer than</w:t>
      </w:r>
      <w:r>
        <w:t xml:space="preserve"> </w:t>
      </w:r>
      <w:r>
        <w:t xml:space="preserve">they will ultimately prove to be. For this reason, the model will need</w:t>
      </w:r>
      <w:r>
        <w:t xml:space="preserve"> </w:t>
      </w:r>
      <w:r>
        <w:t xml:space="preserve">to account for how long each venue has existed.</w:t>
      </w:r>
      <w:r>
        <w:t xml:space="preserve"> </w:t>
      </w:r>
      <w:r>
        <w:t xml:space="preserve">Athens 2004 is the clearest exception to the trend, sitting at 31% when</w:t>
      </w:r>
      <w:r>
        <w:t xml:space="preserve"> </w:t>
      </w:r>
      <w:r>
        <w:t xml:space="preserve">its neighbors sit near zero, and we come back to it below.</w:t>
      </w:r>
    </w:p>
    <w:p>
      <w:pPr>
        <w:pStyle w:val="CaptionedFigure"/>
      </w:pPr>
      <w:r>
        <w:drawing>
          <wp:inline>
            <wp:extent cx="4937760" cy="2838450"/>
            <wp:effectExtent b="0" l="0" r="0" t="0"/>
            <wp:docPr descr="Figure 7. Unused rate over time, with one point per Olympic Games sized by its number of venues, and a linear trend line. The share of venues left unused has declined steadily. Temporary venues excluded." title="" id="34" name="Picture"/>
            <a:graphic>
              <a:graphicData uri="http://schemas.openxmlformats.org/drawingml/2006/picture">
                <pic:pic>
                  <pic:nvPicPr>
                    <pic:cNvPr descr="figs/fig7_oly_rate_over_time.png" id="35" name="Picture"/>
                    <pic:cNvPicPr>
                      <a:picLocks noChangeArrowheads="1" noChangeAspect="1"/>
                    </pic:cNvPicPr>
                  </pic:nvPicPr>
                  <pic:blipFill>
                    <a:blip r:embed="rId33"/>
                    <a:stretch>
                      <a:fillRect/>
                    </a:stretch>
                  </pic:blipFill>
                  <pic:spPr bwMode="auto">
                    <a:xfrm>
                      <a:off x="0" y="0"/>
                      <a:ext cx="4937760" cy="2838450"/>
                    </a:xfrm>
                    <a:prstGeom prst="rect">
                      <a:avLst/>
                    </a:prstGeom>
                    <a:noFill/>
                    <a:ln w="9525">
                      <a:noFill/>
                      <a:headEnd/>
                      <a:tailEnd/>
                    </a:ln>
                  </pic:spPr>
                </pic:pic>
              </a:graphicData>
            </a:graphic>
          </wp:inline>
        </w:drawing>
      </w:r>
    </w:p>
    <w:p>
      <w:pPr>
        <w:pStyle w:val="ImageCaption"/>
      </w:pPr>
      <w:r>
        <w:t xml:space="preserve">Figure 7. Unused rate over time, with one point per Olympic Games</w:t>
      </w:r>
      <w:r>
        <w:t xml:space="preserve"> </w:t>
      </w:r>
      <w:r>
        <w:t xml:space="preserve">sized by its number of venues, and a linear trend line. The share of</w:t>
      </w:r>
      <w:r>
        <w:t xml:space="preserve"> </w:t>
      </w:r>
      <w:r>
        <w:t xml:space="preserve">venues left unused has declined steadily. Temporary venues</w:t>
      </w:r>
      <w:r>
        <w:t xml:space="preserve"> </w:t>
      </w:r>
      <w:r>
        <w:t xml:space="preserve">excluded.</w:t>
      </w:r>
    </w:p>
    <w:p>
      <w:pPr>
        <w:pStyle w:val="BodyText"/>
      </w:pPr>
      <w:r>
        <w:rPr>
          <w:b/>
          <w:bCs/>
        </w:rPr>
        <w:t xml:space="preserve">Host-country income points one way for the World Cup and the other way</w:t>
      </w:r>
      <w:r>
        <w:rPr>
          <w:b/>
          <w:bCs/>
        </w:rPr>
        <w:t xml:space="preserve"> </w:t>
      </w:r>
      <w:r>
        <w:rPr>
          <w:b/>
          <w:bCs/>
        </w:rPr>
        <w:t xml:space="preserve">for the Olympics:</w:t>
      </w:r>
      <w:r>
        <w:t xml:space="preserve"> </w:t>
      </w:r>
      <w:r>
        <w:t xml:space="preserve">Table 3 reports the unused rate for each category of</w:t>
      </w:r>
      <w:r>
        <w:t xml:space="preserve"> </w:t>
      </w:r>
      <w:r>
        <w:t xml:space="preserve">each predictor. Table 4 reports the typical (median) value of each</w:t>
      </w:r>
      <w:r>
        <w:t xml:space="preserve"> </w:t>
      </w:r>
      <w:r>
        <w:t xml:space="preserve">numeric factor, for venues still in use against those that are not. Two</w:t>
      </w:r>
      <w:r>
        <w:t xml:space="preserve"> </w:t>
      </w:r>
      <w:r>
        <w:t xml:space="preserve">things stand out. Multi-purpose World Cup venues are out of use</w:t>
      </w:r>
      <w:r>
        <w:t xml:space="preserve"> </w:t>
      </w:r>
      <w:r>
        <w:t xml:space="preserve">slightly more often (11.7%) than single-purpose ones (8.6%), which is</w:t>
      </w:r>
      <w:r>
        <w:t xml:space="preserve"> </w:t>
      </w:r>
      <w:r>
        <w:t xml:space="preserve">also the opposite of what we predicted, though the gap is small. More</w:t>
      </w:r>
      <w:r>
        <w:t xml:space="preserve"> </w:t>
      </w:r>
      <w:r>
        <w:t xml:space="preserve">surprising, host-country income does not just differ between the two</w:t>
      </w:r>
      <w:r>
        <w:t xml:space="preserve"> </w:t>
      </w:r>
      <w:r>
        <w:t xml:space="preserve">events, it runs the other way. Unused World Cup venues sit in noticeably</w:t>
      </w:r>
      <w:r>
        <w:t xml:space="preserve"> </w:t>
      </w:r>
      <w:r>
        <w:t xml:space="preserve">poorer countries than in-use ones (median GDP per capita of about</w:t>
      </w:r>
      <w:r>
        <w:t xml:space="preserve"> </w:t>
      </w:r>
      <w:r>
        <w:t xml:space="preserve">$4,960 against about $10,680). Unused Olympic venues sit in richer</w:t>
      </w:r>
      <w:r>
        <w:t xml:space="preserve"> </w:t>
      </w:r>
      <w:r>
        <w:t xml:space="preserve">countries than in-use ones (about $12,700 against about $9,100). That</w:t>
      </w:r>
      <w:r>
        <w:t xml:space="preserve"> </w:t>
      </w:r>
      <w:r>
        <w:t xml:space="preserve">is a full reversal rather than a small difference. It is the strongest</w:t>
      </w:r>
      <w:r>
        <w:t xml:space="preserve"> </w:t>
      </w:r>
      <w:r>
        <w:t xml:space="preserve">evidence in this report that the two eveents should not be pooled</w:t>
      </w:r>
      <w:r>
        <w:t xml:space="preserve"> </w:t>
      </w:r>
      <w:r>
        <w:t xml:space="preserve">without an event-type term in the model.</w:t>
      </w:r>
    </w:p>
    <w:p>
      <w:pPr>
        <w:pStyle w:val="BodyText"/>
      </w:pPr>
      <w:r>
        <w:t xml:space="preserve">Stadium capacity barely separates unused from in-use World Cup venues,</w:t>
      </w:r>
      <w:r>
        <w:t xml:space="preserve"> </w:t>
      </w:r>
      <w:r>
        <w:t xml:space="preserve">and if anything, the unused venues were slightly smaller. This runs</w:t>
      </w:r>
      <w:r>
        <w:t xml:space="preserve"> </w:t>
      </w:r>
      <w:r>
        <w:t xml:space="preserve">against common intuition that oversized</w:t>
      </w:r>
      <w:r>
        <w:t xml:space="preserve"> </w:t>
      </w:r>
      <w:r>
        <w:t xml:space="preserve">“trophy”</w:t>
      </w:r>
      <w:r>
        <w:t xml:space="preserve"> </w:t>
      </w:r>
      <w:r>
        <w:t xml:space="preserve">stadiums are the</w:t>
      </w:r>
      <w:r>
        <w:t xml:space="preserve"> </w:t>
      </w:r>
      <w:r>
        <w:t xml:space="preserve">central problem, and it is consistent with prior research finding that</w:t>
      </w:r>
      <w:r>
        <w:t xml:space="preserve"> </w:t>
      </w:r>
      <w:r>
        <w:t xml:space="preserve">larger stadiums are actually used more (Alm et al., 2016). Table 4 gives</w:t>
      </w:r>
      <w:r>
        <w:t xml:space="preserve"> </w:t>
      </w:r>
      <w:r>
        <w:t xml:space="preserve">the medians, 40,000 seats against 44,000.</w:t>
      </w:r>
    </w:p>
    <w:p>
      <w:pPr>
        <w:pStyle w:val="TableCaption"/>
      </w:pPr>
      <w:r>
        <w:t xml:space="preserve">Table 3. Share of venues not in use, by predictor category, for both</w:t>
      </w:r>
      <w:r>
        <w:t xml:space="preserve"> </w:t>
      </w:r>
      <w:r>
        <w:t xml:space="preserve">events. Temporary and dismantled Olympic venues are excluded, which is</w:t>
      </w:r>
      <w:r>
        <w:t xml:space="preserve"> </w:t>
      </w:r>
      <w:r>
        <w:t xml:space="preserve">why the Olympic New count here (387) is one lower than in Table 2.</w:t>
      </w:r>
    </w:p>
    <w:tbl>
      <w:tblPr>
        <w:tblStyle w:val="Table"/>
        <w:tblW w:type="pct" w:w="4870"/>
        <w:tblLayout w:type="fixed"/>
        <w:tblLook w:firstRow="1" w:lastRow="0" w:firstColumn="0" w:lastColumn="0" w:noHBand="0" w:noVBand="0" w:val="0020"/>
        <w:tblCaption w:val="Table 3. Share of venues not in use, by predictor category, for both events. Temporary and dismantled Olympic venues are excluded, which is why the Olympic New count here (387) is one lower than in Table 2."/>
      </w:tblPr>
      <w:tblGrid>
        <w:gridCol w:w="1440"/>
        <w:gridCol w:w="1748"/>
        <w:gridCol w:w="1851"/>
        <w:gridCol w:w="925"/>
        <w:gridCol w:w="1748"/>
      </w:tblGrid>
      <w:tr>
        <w:trPr>
          <w:tblHeader w:val="on"/>
        </w:trPr>
        <w:tc>
          <w:tcPr/>
          <w:p>
            <w:pPr>
              <w:pStyle w:val="Compact"/>
              <w:jc w:val="left"/>
            </w:pPr>
            <w:r>
              <w:t xml:space="preserve">Dataset</w:t>
            </w:r>
          </w:p>
        </w:tc>
        <w:tc>
          <w:tcPr/>
          <w:p>
            <w:pPr>
              <w:pStyle w:val="Compact"/>
              <w:jc w:val="left"/>
            </w:pPr>
            <w:r>
              <w:t xml:space="preserve">Predictor</w:t>
            </w:r>
          </w:p>
        </w:tc>
        <w:tc>
          <w:tcPr/>
          <w:p>
            <w:pPr>
              <w:pStyle w:val="Compact"/>
              <w:jc w:val="left"/>
            </w:pPr>
            <w:r>
              <w:t xml:space="preserve">Category</w:t>
            </w:r>
          </w:p>
        </w:tc>
        <w:tc>
          <w:tcPr/>
          <w:p>
            <w:pPr>
              <w:pStyle w:val="Compact"/>
              <w:jc w:val="left"/>
            </w:pPr>
            <w:r>
              <w:t xml:space="preserve">N</w:t>
            </w:r>
          </w:p>
        </w:tc>
        <w:tc>
          <w:tcPr/>
          <w:p>
            <w:pPr>
              <w:pStyle w:val="Compact"/>
              <w:jc w:val="left"/>
            </w:pPr>
            <w:r>
              <w:t xml:space="preserve">Unused rate (%)</w:t>
            </w:r>
          </w:p>
        </w:tc>
      </w:tr>
      <w:tr>
        <w:tc>
          <w:tcPr/>
          <w:p>
            <w:pPr>
              <w:pStyle w:val="Compact"/>
              <w:jc w:val="left"/>
            </w:pPr>
            <w:r>
              <w:t xml:space="preserve">World Cup</w:t>
            </w:r>
          </w:p>
        </w:tc>
        <w:tc>
          <w:tcPr/>
          <w:p>
            <w:pPr>
              <w:pStyle w:val="Compact"/>
              <w:jc w:val="left"/>
            </w:pPr>
            <w:r>
              <w:t xml:space="preserve">Design purpose</w:t>
            </w:r>
          </w:p>
        </w:tc>
        <w:tc>
          <w:tcPr/>
          <w:p>
            <w:pPr>
              <w:pStyle w:val="Compact"/>
              <w:jc w:val="left"/>
            </w:pPr>
            <w:r>
              <w:t xml:space="preserve">Multi-purpose</w:t>
            </w:r>
          </w:p>
        </w:tc>
        <w:tc>
          <w:tcPr/>
          <w:p>
            <w:pPr>
              <w:pStyle w:val="Compact"/>
              <w:jc w:val="left"/>
            </w:pPr>
            <w:r>
              <w:t xml:space="preserve">137</w:t>
            </w:r>
          </w:p>
        </w:tc>
        <w:tc>
          <w:tcPr/>
          <w:p>
            <w:pPr>
              <w:pStyle w:val="Compact"/>
              <w:jc w:val="left"/>
            </w:pPr>
            <w:r>
              <w:t xml:space="preserve">11.7</w:t>
            </w:r>
          </w:p>
        </w:tc>
      </w:tr>
      <w:tr>
        <w:tc>
          <w:tcPr/>
          <w:p>
            <w:pPr>
              <w:pStyle w:val="Compact"/>
              <w:jc w:val="left"/>
            </w:pPr>
            <w:r>
              <w:t xml:space="preserve">World Cup</w:t>
            </w:r>
          </w:p>
        </w:tc>
        <w:tc>
          <w:tcPr/>
          <w:p>
            <w:pPr>
              <w:pStyle w:val="Compact"/>
              <w:jc w:val="left"/>
            </w:pPr>
            <w:r>
              <w:t xml:space="preserve">Design purpose</w:t>
            </w:r>
          </w:p>
        </w:tc>
        <w:tc>
          <w:tcPr/>
          <w:p>
            <w:pPr>
              <w:pStyle w:val="Compact"/>
              <w:jc w:val="left"/>
            </w:pPr>
            <w:r>
              <w:t xml:space="preserve">Single-purpose</w:t>
            </w:r>
          </w:p>
        </w:tc>
        <w:tc>
          <w:tcPr/>
          <w:p>
            <w:pPr>
              <w:pStyle w:val="Compact"/>
              <w:jc w:val="left"/>
            </w:pPr>
            <w:r>
              <w:t xml:space="preserve">128</w:t>
            </w:r>
          </w:p>
        </w:tc>
        <w:tc>
          <w:tcPr/>
          <w:p>
            <w:pPr>
              <w:pStyle w:val="Compact"/>
              <w:jc w:val="left"/>
            </w:pPr>
            <w:r>
              <w:t xml:space="preserve">8.6</w:t>
            </w:r>
          </w:p>
        </w:tc>
      </w:tr>
      <w:tr>
        <w:tc>
          <w:tcPr/>
          <w:p>
            <w:pPr>
              <w:pStyle w:val="Compact"/>
              <w:jc w:val="left"/>
            </w:pPr>
            <w:r>
              <w:t xml:space="preserve">World Cup</w:t>
            </w:r>
          </w:p>
        </w:tc>
        <w:tc>
          <w:tcPr/>
          <w:p>
            <w:pPr>
              <w:pStyle w:val="Compact"/>
              <w:jc w:val="left"/>
            </w:pPr>
            <w:r>
              <w:t xml:space="preserve">Newly built</w:t>
            </w:r>
          </w:p>
        </w:tc>
        <w:tc>
          <w:tcPr/>
          <w:p>
            <w:pPr>
              <w:pStyle w:val="Compact"/>
              <w:jc w:val="left"/>
            </w:pPr>
            <w:r>
              <w:t xml:space="preserve">Existing</w:t>
            </w:r>
          </w:p>
        </w:tc>
        <w:tc>
          <w:tcPr/>
          <w:p>
            <w:pPr>
              <w:pStyle w:val="Compact"/>
              <w:jc w:val="left"/>
            </w:pPr>
            <w:r>
              <w:t xml:space="preserve">171</w:t>
            </w:r>
          </w:p>
        </w:tc>
        <w:tc>
          <w:tcPr/>
          <w:p>
            <w:pPr>
              <w:pStyle w:val="Compact"/>
              <w:jc w:val="left"/>
            </w:pPr>
            <w:r>
              <w:t xml:space="preserve">14.6</w:t>
            </w:r>
          </w:p>
        </w:tc>
      </w:tr>
      <w:tr>
        <w:tc>
          <w:tcPr/>
          <w:p>
            <w:pPr>
              <w:pStyle w:val="Compact"/>
              <w:jc w:val="left"/>
            </w:pPr>
            <w:r>
              <w:t xml:space="preserve">World Cup</w:t>
            </w:r>
          </w:p>
        </w:tc>
        <w:tc>
          <w:tcPr/>
          <w:p>
            <w:pPr>
              <w:pStyle w:val="Compact"/>
              <w:jc w:val="left"/>
            </w:pPr>
            <w:r>
              <w:t xml:space="preserve">Newly built</w:t>
            </w:r>
          </w:p>
        </w:tc>
        <w:tc>
          <w:tcPr/>
          <w:p>
            <w:pPr>
              <w:pStyle w:val="Compact"/>
              <w:jc w:val="left"/>
            </w:pPr>
            <w:r>
              <w:t xml:space="preserve">New</w:t>
            </w:r>
          </w:p>
        </w:tc>
        <w:tc>
          <w:tcPr/>
          <w:p>
            <w:pPr>
              <w:pStyle w:val="Compact"/>
              <w:jc w:val="left"/>
            </w:pPr>
            <w:r>
              <w:t xml:space="preserve">94</w:t>
            </w:r>
          </w:p>
        </w:tc>
        <w:tc>
          <w:tcPr/>
          <w:p>
            <w:pPr>
              <w:pStyle w:val="Compact"/>
              <w:jc w:val="left"/>
            </w:pPr>
            <w:r>
              <w:t xml:space="preserve">2.1</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Existing</w:t>
            </w:r>
          </w:p>
        </w:tc>
        <w:tc>
          <w:tcPr/>
          <w:p>
            <w:pPr>
              <w:pStyle w:val="Compact"/>
              <w:jc w:val="left"/>
            </w:pPr>
            <w:r>
              <w:t xml:space="preserve">473</w:t>
            </w:r>
          </w:p>
        </w:tc>
        <w:tc>
          <w:tcPr/>
          <w:p>
            <w:pPr>
              <w:pStyle w:val="Compact"/>
              <w:jc w:val="left"/>
            </w:pPr>
            <w:r>
              <w:t xml:space="preserve">16.7</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Mixed</w:t>
            </w:r>
          </w:p>
        </w:tc>
        <w:tc>
          <w:tcPr/>
          <w:p>
            <w:pPr>
              <w:pStyle w:val="Compact"/>
              <w:jc w:val="left"/>
            </w:pPr>
            <w:r>
              <w:t xml:space="preserve">9</w:t>
            </w:r>
          </w:p>
        </w:tc>
        <w:tc>
          <w:tcPr/>
          <w:p>
            <w:pPr>
              <w:pStyle w:val="Compact"/>
              <w:jc w:val="left"/>
            </w:pPr>
            <w:r>
              <w:t xml:space="preserve">11.1</w:t>
            </w:r>
          </w:p>
        </w:tc>
      </w:tr>
      <w:tr>
        <w:tc>
          <w:tcPr/>
          <w:p>
            <w:pPr>
              <w:pStyle w:val="Compact"/>
              <w:jc w:val="left"/>
            </w:pPr>
            <w:r>
              <w:t xml:space="preserve">Olympic</w:t>
            </w:r>
          </w:p>
        </w:tc>
        <w:tc>
          <w:tcPr/>
          <w:p>
            <w:pPr>
              <w:pStyle w:val="Compact"/>
              <w:jc w:val="left"/>
            </w:pPr>
            <w:r>
              <w:t xml:space="preserve">Venue type</w:t>
            </w:r>
          </w:p>
        </w:tc>
        <w:tc>
          <w:tcPr/>
          <w:p>
            <w:pPr>
              <w:pStyle w:val="Compact"/>
              <w:jc w:val="left"/>
            </w:pPr>
            <w:r>
              <w:t xml:space="preserve">New</w:t>
            </w:r>
          </w:p>
        </w:tc>
        <w:tc>
          <w:tcPr/>
          <w:p>
            <w:pPr>
              <w:pStyle w:val="Compact"/>
              <w:jc w:val="left"/>
            </w:pPr>
            <w:r>
              <w:t xml:space="preserve">387</w:t>
            </w:r>
          </w:p>
        </w:tc>
        <w:tc>
          <w:tcPr/>
          <w:p>
            <w:pPr>
              <w:pStyle w:val="Compact"/>
              <w:jc w:val="left"/>
            </w:pPr>
            <w:r>
              <w:t xml:space="preserve">11.1</w:t>
            </w:r>
          </w:p>
        </w:tc>
      </w:tr>
    </w:tbl>
    <w:p/>
    <w:p>
      <w:pPr>
        <w:pStyle w:val="TableCaption"/>
      </w:pPr>
      <w:r>
        <w:t xml:space="preserve">Table 4. Typical (median) value of each numeric factor for venues</w:t>
      </w:r>
      <w:r>
        <w:t xml:space="preserve"> </w:t>
      </w:r>
      <w:r>
        <w:t xml:space="preserve">still in use against venues not in use. Unused World Cup venues sit in</w:t>
      </w:r>
      <w:r>
        <w:t xml:space="preserve"> </w:t>
      </w:r>
      <w:r>
        <w:t xml:space="preserve">poorer countries than in-use ones, while unused Olympic venues sit in</w:t>
      </w:r>
      <w:r>
        <w:t xml:space="preserve"> </w:t>
      </w:r>
      <w:r>
        <w:t xml:space="preserve">richer ones.</w:t>
      </w:r>
    </w:p>
    <w:tbl>
      <w:tblPr>
        <w:tblStyle w:val="Table"/>
        <w:tblW w:type="pct" w:w="4878"/>
        <w:tblLayout w:type="fixed"/>
        <w:tblLook w:firstRow="1" w:lastRow="0" w:firstColumn="0" w:lastColumn="0" w:noHBand="0" w:noVBand="0" w:val="0020"/>
        <w:tblCaption w:val="Table 4. Typical (median) value of each numeric factor for venues still in use against venues not in use. Unused World Cup venues sit in poorer countries than in-use ones, while unused Olympic venues sit in richer ones."/>
      </w:tblPr>
      <w:tblGrid>
        <w:gridCol w:w="1352"/>
        <w:gridCol w:w="3090"/>
        <w:gridCol w:w="1641"/>
        <w:gridCol w:w="1641"/>
      </w:tblGrid>
      <w:tr>
        <w:trPr>
          <w:tblHeader w:val="on"/>
        </w:trPr>
        <w:tc>
          <w:tcPr/>
          <w:p>
            <w:pPr>
              <w:pStyle w:val="Compact"/>
              <w:jc w:val="left"/>
            </w:pPr>
            <w:r>
              <w:t xml:space="preserve">Dataset</w:t>
            </w:r>
          </w:p>
        </w:tc>
        <w:tc>
          <w:tcPr/>
          <w:p>
            <w:pPr>
              <w:pStyle w:val="Compact"/>
              <w:jc w:val="left"/>
            </w:pPr>
            <w:r>
              <w:t xml:space="preserve">Numeric factor</w:t>
            </w:r>
          </w:p>
        </w:tc>
        <w:tc>
          <w:tcPr/>
          <w:p>
            <w:pPr>
              <w:pStyle w:val="Compact"/>
              <w:jc w:val="left"/>
            </w:pPr>
            <w:r>
              <w:t xml:space="preserve">Median (in use)</w:t>
            </w:r>
          </w:p>
        </w:tc>
        <w:tc>
          <w:tcPr/>
          <w:p>
            <w:pPr>
              <w:pStyle w:val="Compact"/>
              <w:jc w:val="left"/>
            </w:pPr>
            <w:r>
              <w:t xml:space="preserve">Median (not in</w:t>
            </w:r>
            <w:r>
              <w:t xml:space="preserve"> </w:t>
            </w:r>
            <w:r>
              <w:t xml:space="preserve">use)</w:t>
            </w:r>
          </w:p>
        </w:tc>
      </w:tr>
      <w:tr>
        <w:tc>
          <w:tcPr/>
          <w:p>
            <w:pPr>
              <w:pStyle w:val="Compact"/>
              <w:jc w:val="left"/>
            </w:pPr>
            <w:r>
              <w:t xml:space="preserve">World Cup</w:t>
            </w:r>
          </w:p>
        </w:tc>
        <w:tc>
          <w:tcPr/>
          <w:p>
            <w:pPr>
              <w:pStyle w:val="Compact"/>
              <w:jc w:val="left"/>
            </w:pPr>
            <w:r>
              <w:t xml:space="preserve">City population (thousands)</w:t>
            </w:r>
          </w:p>
        </w:tc>
        <w:tc>
          <w:tcPr/>
          <w:p>
            <w:pPr>
              <w:pStyle w:val="Compact"/>
              <w:jc w:val="left"/>
            </w:pPr>
            <w:r>
              <w:t xml:space="preserve">874.8</w:t>
            </w:r>
          </w:p>
        </w:tc>
        <w:tc>
          <w:tcPr/>
          <w:p>
            <w:pPr>
              <w:pStyle w:val="Compact"/>
              <w:jc w:val="left"/>
            </w:pPr>
            <w:r>
              <w:t xml:space="preserve">1,236.8</w:t>
            </w:r>
          </w:p>
        </w:tc>
      </w:tr>
      <w:tr>
        <w:tc>
          <w:tcPr/>
          <w:p>
            <w:pPr>
              <w:pStyle w:val="Compact"/>
              <w:jc w:val="left"/>
            </w:pPr>
            <w:r>
              <w:t xml:space="preserve">World Cup</w:t>
            </w:r>
          </w:p>
        </w:tc>
        <w:tc>
          <w:tcPr/>
          <w:p>
            <w:pPr>
              <w:pStyle w:val="Compact"/>
              <w:jc w:val="left"/>
            </w:pPr>
            <w:r>
              <w:t xml:space="preserve">GDP per capita (USD)</w:t>
            </w:r>
          </w:p>
        </w:tc>
        <w:tc>
          <w:tcPr/>
          <w:p>
            <w:pPr>
              <w:pStyle w:val="Compact"/>
              <w:jc w:val="left"/>
            </w:pPr>
            <w:r>
              <w:t xml:space="preserve">10,675</w:t>
            </w:r>
          </w:p>
        </w:tc>
        <w:tc>
          <w:tcPr/>
          <w:p>
            <w:pPr>
              <w:pStyle w:val="Compact"/>
              <w:jc w:val="left"/>
            </w:pPr>
            <w:r>
              <w:t xml:space="preserve">4,963.7</w:t>
            </w:r>
          </w:p>
        </w:tc>
      </w:tr>
      <w:tr>
        <w:tc>
          <w:tcPr/>
          <w:p>
            <w:pPr>
              <w:pStyle w:val="Compact"/>
              <w:jc w:val="left"/>
            </w:pPr>
            <w:r>
              <w:t xml:space="preserve">World Cup</w:t>
            </w:r>
          </w:p>
        </w:tc>
        <w:tc>
          <w:tcPr/>
          <w:p>
            <w:pPr>
              <w:pStyle w:val="Compact"/>
              <w:jc w:val="left"/>
            </w:pPr>
            <w:r>
              <w:t xml:space="preserve">Stadium capacity (seats)</w:t>
            </w:r>
          </w:p>
        </w:tc>
        <w:tc>
          <w:tcPr/>
          <w:p>
            <w:pPr>
              <w:pStyle w:val="Compact"/>
              <w:jc w:val="left"/>
            </w:pPr>
            <w:r>
              <w:t xml:space="preserve">44,000</w:t>
            </w:r>
          </w:p>
        </w:tc>
        <w:tc>
          <w:tcPr/>
          <w:p>
            <w:pPr>
              <w:pStyle w:val="Compact"/>
              <w:jc w:val="left"/>
            </w:pPr>
            <w:r>
              <w:t xml:space="preserve">40,000</w:t>
            </w:r>
          </w:p>
        </w:tc>
      </w:tr>
      <w:tr>
        <w:tc>
          <w:tcPr/>
          <w:p>
            <w:pPr>
              <w:pStyle w:val="Compact"/>
              <w:jc w:val="left"/>
            </w:pPr>
            <w:r>
              <w:t xml:space="preserve">Olympic</w:t>
            </w:r>
          </w:p>
        </w:tc>
        <w:tc>
          <w:tcPr/>
          <w:p>
            <w:pPr>
              <w:pStyle w:val="Compact"/>
              <w:jc w:val="left"/>
            </w:pPr>
            <w:r>
              <w:t xml:space="preserve">City population (thousands)</w:t>
            </w:r>
          </w:p>
        </w:tc>
        <w:tc>
          <w:tcPr/>
          <w:p>
            <w:pPr>
              <w:pStyle w:val="Compact"/>
              <w:jc w:val="left"/>
            </w:pPr>
            <w:r>
              <w:t xml:space="preserve">2,814.7</w:t>
            </w:r>
          </w:p>
        </w:tc>
        <w:tc>
          <w:tcPr/>
          <w:p>
            <w:pPr>
              <w:pStyle w:val="Compact"/>
              <w:jc w:val="left"/>
            </w:pPr>
            <w:r>
              <w:t xml:space="preserve">3,025.9</w:t>
            </w:r>
          </w:p>
        </w:tc>
      </w:tr>
      <w:tr>
        <w:tc>
          <w:tcPr/>
          <w:p>
            <w:pPr>
              <w:pStyle w:val="Compact"/>
              <w:jc w:val="left"/>
            </w:pPr>
            <w:r>
              <w:t xml:space="preserve">Olympic</w:t>
            </w:r>
          </w:p>
        </w:tc>
        <w:tc>
          <w:tcPr/>
          <w:p>
            <w:pPr>
              <w:pStyle w:val="Compact"/>
              <w:jc w:val="left"/>
            </w:pPr>
            <w:r>
              <w:t xml:space="preserve">GDP per capita (USD)</w:t>
            </w:r>
          </w:p>
        </w:tc>
        <w:tc>
          <w:tcPr/>
          <w:p>
            <w:pPr>
              <w:pStyle w:val="Compact"/>
              <w:jc w:val="left"/>
            </w:pPr>
            <w:r>
              <w:t xml:space="preserve">9,101.2</w:t>
            </w:r>
          </w:p>
        </w:tc>
        <w:tc>
          <w:tcPr/>
          <w:p>
            <w:pPr>
              <w:pStyle w:val="Compact"/>
              <w:jc w:val="left"/>
            </w:pPr>
            <w:r>
              <w:t xml:space="preserve">12,697.5</w:t>
            </w:r>
          </w:p>
        </w:tc>
      </w:tr>
    </w:tbl>
    <w:bookmarkEnd w:id="36"/>
    <w:bookmarkStart w:id="37" w:name="X50cb0f40969fb2b2eab6ebd0a3b54473f83acc3"/>
    <w:p>
      <w:pPr>
        <w:pStyle w:val="Heading2"/>
      </w:pPr>
      <w:r>
        <w:t xml:space="preserve">Checking the predictors against each other</w:t>
      </w:r>
    </w:p>
    <w:p>
      <w:pPr>
        <w:pStyle w:val="FirstParagraph"/>
      </w:pPr>
      <w:r>
        <w:t xml:space="preserve">Table 5 is the correlation check, which asks whether any two predictors</w:t>
      </w:r>
      <w:r>
        <w:t xml:space="preserve"> </w:t>
      </w:r>
      <w:r>
        <w:t xml:space="preserve">carry so much of the same information that we would not want both in the</w:t>
      </w:r>
      <w:r>
        <w:t xml:space="preserve"> </w:t>
      </w:r>
      <w:r>
        <w:t xml:space="preserve">model. No two numeric predictors are strongly correlated (nothing above</w:t>
      </w:r>
      <w:r>
        <w:t xml:space="preserve"> </w:t>
      </w:r>
      <w:r>
        <w:t xml:space="preserve">0.7), so we do not have a redundancy problem to fix. The two notable</w:t>
      </w:r>
      <w:r>
        <w:t xml:space="preserve"> </w:t>
      </w:r>
      <w:r>
        <w:t xml:space="preserve">pairs are GDP and event year (0.61) and opening year and event year</w:t>
      </w:r>
      <w:r>
        <w:t xml:space="preserve"> </w:t>
      </w:r>
      <w:r>
        <w:t xml:space="preserve">(0.64). The first of those is partly a misleading effect rather than a</w:t>
      </w:r>
      <w:r>
        <w:t xml:space="preserve"> </w:t>
      </w:r>
      <w:r>
        <w:t xml:space="preserve">genuine relationship, which we describe below.</w:t>
      </w:r>
    </w:p>
    <w:p>
      <w:pPr>
        <w:pStyle w:val="TableCaption"/>
      </w:pPr>
      <w:r>
        <w:t xml:space="preserve">Table 5. Correlation matrix of the World Cup numeric predictors.</w:t>
      </w:r>
      <w:r>
        <w:t xml:space="preserve"> </w:t>
      </w:r>
      <w:r>
        <w:t xml:space="preserve">Corruption score is left out because it is missing for 96% of records.</w:t>
      </w:r>
    </w:p>
    <w:tbl>
      <w:tblPr>
        <w:tblStyle w:val="Table"/>
        <w:tblW w:type="pct" w:w="4911"/>
        <w:tblLayout w:type="fixed"/>
        <w:tblLook w:firstRow="1" w:lastRow="0" w:firstColumn="0" w:lastColumn="0" w:noHBand="0" w:noVBand="0" w:val="0020"/>
        <w:tblCaption w:val="Table 5. Correlation matrix of the World Cup numeric predictors. Corruption score is left out because it is missing for 96% of records."/>
      </w:tblPr>
      <w:tblGrid>
        <w:gridCol w:w="1485"/>
        <w:gridCol w:w="1343"/>
        <w:gridCol w:w="1202"/>
        <w:gridCol w:w="1485"/>
        <w:gridCol w:w="990"/>
        <w:gridCol w:w="1272"/>
      </w:tblGrid>
      <w:tr>
        <w:trPr>
          <w:tblHeader w:val="on"/>
        </w:trPr>
        <w:tc>
          <w:tcPr/>
          <w:p>
            <w:pPr>
              <w:pStyle w:val="Compact"/>
            </w:pPr>
          </w:p>
        </w:tc>
        <w:tc>
          <w:tcPr/>
          <w:p>
            <w:pPr>
              <w:pStyle w:val="Compact"/>
              <w:jc w:val="left"/>
            </w:pPr>
            <w:r>
              <w:t xml:space="preserve">stadium_capacity</w:t>
            </w:r>
          </w:p>
        </w:tc>
        <w:tc>
          <w:tcPr/>
          <w:p>
            <w:pPr>
              <w:pStyle w:val="Compact"/>
              <w:jc w:val="left"/>
            </w:pPr>
            <w:r>
              <w:t xml:space="preserve">gdp_per_capita</w:t>
            </w:r>
          </w:p>
        </w:tc>
        <w:tc>
          <w:tcPr/>
          <w:p>
            <w:pPr>
              <w:pStyle w:val="Compact"/>
              <w:jc w:val="left"/>
            </w:pPr>
            <w:r>
              <w:t xml:space="preserve">city_pop_thousands</w:t>
            </w:r>
          </w:p>
        </w:tc>
        <w:tc>
          <w:tcPr/>
          <w:p>
            <w:pPr>
              <w:pStyle w:val="Compact"/>
              <w:jc w:val="left"/>
            </w:pPr>
            <w:r>
              <w:t xml:space="preserve">opened_year</w:t>
            </w:r>
          </w:p>
        </w:tc>
        <w:tc>
          <w:tcPr/>
          <w:p>
            <w:pPr>
              <w:pStyle w:val="Compact"/>
              <w:jc w:val="left"/>
            </w:pPr>
            <w:r>
              <w:t xml:space="preserve">tournament_year</w:t>
            </w:r>
          </w:p>
        </w:tc>
      </w:tr>
      <w:tr>
        <w:tc>
          <w:tcPr/>
          <w:p>
            <w:pPr>
              <w:pStyle w:val="Compact"/>
            </w:pPr>
            <w:r>
              <w:t xml:space="preserve">stadium_capacity</w:t>
            </w:r>
          </w:p>
        </w:tc>
        <w:tc>
          <w:tcPr/>
          <w:p>
            <w:pPr>
              <w:pStyle w:val="Compact"/>
              <w:jc w:val="left"/>
            </w:pPr>
            <w:r>
              <w:t xml:space="preserve">1.00</w:t>
            </w:r>
          </w:p>
        </w:tc>
        <w:tc>
          <w:tcPr/>
          <w:p>
            <w:pPr>
              <w:pStyle w:val="Compact"/>
              <w:jc w:val="left"/>
            </w:pPr>
            <w:r>
              <w:t xml:space="preserve">-0.09</w:t>
            </w:r>
          </w:p>
        </w:tc>
        <w:tc>
          <w:tcPr/>
          <w:p>
            <w:pPr>
              <w:pStyle w:val="Compact"/>
              <w:jc w:val="left"/>
            </w:pPr>
            <w:r>
              <w:t xml:space="preserve">0.32</w:t>
            </w:r>
          </w:p>
        </w:tc>
        <w:tc>
          <w:tcPr/>
          <w:p>
            <w:pPr>
              <w:pStyle w:val="Compact"/>
              <w:jc w:val="left"/>
            </w:pPr>
            <w:r>
              <w:t xml:space="preserve">0.07</w:t>
            </w:r>
          </w:p>
        </w:tc>
        <w:tc>
          <w:tcPr/>
          <w:p>
            <w:pPr>
              <w:pStyle w:val="Compact"/>
              <w:jc w:val="left"/>
            </w:pPr>
            <w:r>
              <w:t xml:space="preserve">0.10</w:t>
            </w:r>
          </w:p>
        </w:tc>
      </w:tr>
      <w:tr>
        <w:tc>
          <w:tcPr/>
          <w:p>
            <w:pPr>
              <w:pStyle w:val="Compact"/>
            </w:pPr>
            <w:r>
              <w:t xml:space="preserve">gdp_per_capita</w:t>
            </w:r>
          </w:p>
        </w:tc>
        <w:tc>
          <w:tcPr/>
          <w:p>
            <w:pPr>
              <w:pStyle w:val="Compact"/>
              <w:jc w:val="left"/>
            </w:pPr>
            <w:r>
              <w:t xml:space="preserve">-0.09</w:t>
            </w:r>
          </w:p>
        </w:tc>
        <w:tc>
          <w:tcPr/>
          <w:p>
            <w:pPr>
              <w:pStyle w:val="Compact"/>
              <w:jc w:val="left"/>
            </w:pPr>
            <w:r>
              <w:t xml:space="preserve">1.00</w:t>
            </w:r>
          </w:p>
        </w:tc>
        <w:tc>
          <w:tcPr/>
          <w:p>
            <w:pPr>
              <w:pStyle w:val="Compact"/>
              <w:jc w:val="left"/>
            </w:pPr>
            <w:r>
              <w:t xml:space="preserve">0.00</w:t>
            </w:r>
          </w:p>
        </w:tc>
        <w:tc>
          <w:tcPr/>
          <w:p>
            <w:pPr>
              <w:pStyle w:val="Compact"/>
              <w:jc w:val="left"/>
            </w:pPr>
            <w:r>
              <w:t xml:space="preserve">0.28</w:t>
            </w:r>
          </w:p>
        </w:tc>
        <w:tc>
          <w:tcPr/>
          <w:p>
            <w:pPr>
              <w:pStyle w:val="Compact"/>
              <w:jc w:val="left"/>
            </w:pPr>
            <w:r>
              <w:t xml:space="preserve">0.61</w:t>
            </w:r>
          </w:p>
        </w:tc>
      </w:tr>
      <w:tr>
        <w:tc>
          <w:tcPr/>
          <w:p>
            <w:pPr>
              <w:pStyle w:val="Compact"/>
            </w:pPr>
            <w:r>
              <w:t xml:space="preserve">city_pop_thousands</w:t>
            </w:r>
          </w:p>
        </w:tc>
        <w:tc>
          <w:tcPr/>
          <w:p>
            <w:pPr>
              <w:pStyle w:val="Compact"/>
              <w:jc w:val="left"/>
            </w:pPr>
            <w:r>
              <w:t xml:space="preserve">0.32</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0.16</w:t>
            </w:r>
          </w:p>
        </w:tc>
        <w:tc>
          <w:tcPr/>
          <w:p>
            <w:pPr>
              <w:pStyle w:val="Compact"/>
              <w:jc w:val="left"/>
            </w:pPr>
            <w:r>
              <w:t xml:space="preserve">0.13</w:t>
            </w:r>
          </w:p>
        </w:tc>
      </w:tr>
      <w:tr>
        <w:tc>
          <w:tcPr/>
          <w:p>
            <w:pPr>
              <w:pStyle w:val="Compact"/>
            </w:pPr>
            <w:r>
              <w:t xml:space="preserve">opened_year</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0.16</w:t>
            </w:r>
          </w:p>
        </w:tc>
        <w:tc>
          <w:tcPr/>
          <w:p>
            <w:pPr>
              <w:pStyle w:val="Compact"/>
              <w:jc w:val="left"/>
            </w:pPr>
            <w:r>
              <w:t xml:space="preserve">1.00</w:t>
            </w:r>
          </w:p>
        </w:tc>
        <w:tc>
          <w:tcPr/>
          <w:p>
            <w:pPr>
              <w:pStyle w:val="Compact"/>
              <w:jc w:val="left"/>
            </w:pPr>
            <w:r>
              <w:t xml:space="preserve">0.64</w:t>
            </w:r>
          </w:p>
        </w:tc>
      </w:tr>
      <w:tr>
        <w:tc>
          <w:tcPr/>
          <w:p>
            <w:pPr>
              <w:pStyle w:val="Compact"/>
            </w:pPr>
            <w:r>
              <w:t xml:space="preserve">tournament_year</w:t>
            </w:r>
          </w:p>
        </w:tc>
        <w:tc>
          <w:tcPr/>
          <w:p>
            <w:pPr>
              <w:pStyle w:val="Compact"/>
              <w:jc w:val="left"/>
            </w:pPr>
            <w:r>
              <w:t xml:space="preserve">0.10</w:t>
            </w:r>
          </w:p>
        </w:tc>
        <w:tc>
          <w:tcPr/>
          <w:p>
            <w:pPr>
              <w:pStyle w:val="Compact"/>
              <w:jc w:val="left"/>
            </w:pPr>
            <w:r>
              <w:t xml:space="preserve">0.61</w:t>
            </w:r>
          </w:p>
        </w:tc>
        <w:tc>
          <w:tcPr/>
          <w:p>
            <w:pPr>
              <w:pStyle w:val="Compact"/>
              <w:jc w:val="left"/>
            </w:pPr>
            <w:r>
              <w:t xml:space="preserve">0.13</w:t>
            </w:r>
          </w:p>
        </w:tc>
        <w:tc>
          <w:tcPr/>
          <w:p>
            <w:pPr>
              <w:pStyle w:val="Compact"/>
              <w:jc w:val="left"/>
            </w:pPr>
            <w:r>
              <w:t xml:space="preserve">0.64</w:t>
            </w:r>
          </w:p>
        </w:tc>
        <w:tc>
          <w:tcPr/>
          <w:p>
            <w:pPr>
              <w:pStyle w:val="Compact"/>
              <w:jc w:val="left"/>
            </w:pPr>
            <w:r>
              <w:t xml:space="preserve">1.00</w:t>
            </w:r>
          </w:p>
        </w:tc>
      </w:tr>
    </w:tbl>
    <w:bookmarkEnd w:id="37"/>
    <w:bookmarkEnd w:id="38"/>
    <w:bookmarkStart w:id="39" w:name="discussion-and-next-steps"/>
    <w:p>
      <w:pPr>
        <w:pStyle w:val="Heading1"/>
      </w:pPr>
      <w:r>
        <w:t xml:space="preserve">Discussion and Next Steps</w:t>
      </w:r>
    </w:p>
    <w:p>
      <w:pPr>
        <w:pStyle w:val="FirstParagraph"/>
      </w:pPr>
      <w:r>
        <w:rPr>
          <w:b/>
          <w:bCs/>
        </w:rPr>
        <w:t xml:space="preserve">Key takeaways:</w:t>
      </w:r>
      <w:r>
        <w:t xml:space="preserve"> </w:t>
      </w:r>
      <w:r>
        <w:t xml:space="preserve">The headline is how rare the failures are (a class</w:t>
      </w:r>
      <w:r>
        <w:t xml:space="preserve"> </w:t>
      </w:r>
      <w:r>
        <w:t xml:space="preserve">imbalance). Counting the way our target definition says to count, which</w:t>
      </w:r>
      <w:r>
        <w:t xml:space="preserve"> </w:t>
      </w:r>
      <w:r>
        <w:t xml:space="preserve">sets temporary venues aside, 123 of 880 Olympic venues are not in use,</w:t>
      </w:r>
      <w:r>
        <w:t xml:space="preserve"> </w:t>
      </w:r>
      <w:r>
        <w:t xml:space="preserve">or 14.0%. On the World Cup side it is 27 of 265, or 10.2%. Those two</w:t>
      </w:r>
      <w:r>
        <w:t xml:space="preserve"> </w:t>
      </w:r>
      <w:r>
        <w:t xml:space="preserve">numbers look close, but they are not measuring the same thing yet. On the World</w:t>
      </w:r>
      <w:r>
        <w:t xml:space="preserve"> </w:t>
      </w:r>
      <w:r>
        <w:t xml:space="preserve">Cup side we know why each venue closed. Of those 27 rows, 17 stadiums</w:t>
      </w:r>
      <w:r>
        <w:t xml:space="preserve"> </w:t>
      </w:r>
      <w:r>
        <w:t xml:space="preserve">were replaced by a successor, 5 were lost to urban redevelopment, 1 was</w:t>
      </w:r>
      <w:r>
        <w:t xml:space="preserve"> </w:t>
      </w:r>
      <w:r>
        <w:t xml:space="preserve">lost to war, and 4 were abandoned before demolition. Those last 4 rows</w:t>
      </w:r>
      <w:r>
        <w:t xml:space="preserve"> </w:t>
      </w:r>
      <w:r>
        <w:t xml:space="preserve">are only 3 distinct stadiums, because RFK Stadium hosted two tournaments</w:t>
      </w:r>
      <w:r>
        <w:t xml:space="preserve"> </w:t>
      </w:r>
      <w:r>
        <w:t xml:space="preserve">and so appears twice. Genuine abandonment accounts for three of the 238</w:t>
      </w:r>
      <w:r>
        <w:t xml:space="preserve"> </w:t>
      </w:r>
      <w:r>
        <w:t xml:space="preserve">distinct stadiums, or 1.3%. On the Olympic side we have not sorted the closures by</w:t>
      </w:r>
      <w:r>
        <w:t xml:space="preserve"> </w:t>
      </w:r>
      <w:r>
        <w:t xml:space="preserve">reason yet, so 14.0% is a ceiling rather than a measurement. It counts</w:t>
      </w:r>
      <w:r>
        <w:t xml:space="preserve"> </w:t>
      </w:r>
      <w:r>
        <w:t xml:space="preserve">every venue that is not currently in use, including the ones that closed</w:t>
      </w:r>
      <w:r>
        <w:t xml:space="preserve"> </w:t>
      </w:r>
      <w:r>
        <w:t xml:space="preserve">for reasons that have nothing to do with bad planning. Whichever number</w:t>
      </w:r>
      <w:r>
        <w:t xml:space="preserve"> </w:t>
      </w:r>
      <w:r>
        <w:t xml:space="preserve">we end up using, the failures are rare enough that we were right to</w:t>
      </w:r>
      <w:r>
        <w:t xml:space="preserve"> </w:t>
      </w:r>
      <w:r>
        <w:t xml:space="preserve">decide against judging the model on plain accuracy. The data confirms</w:t>
      </w:r>
      <w:r>
        <w:t xml:space="preserve"> </w:t>
      </w:r>
      <w:r>
        <w:t xml:space="preserve">that rarity is an actual problem here rather than a theoretical one.</w:t>
      </w:r>
    </w:p>
    <w:p>
      <w:pPr>
        <w:pStyle w:val="BodyText"/>
      </w:pPr>
      <w:r>
        <w:rPr>
          <w:b/>
          <w:bCs/>
        </w:rPr>
        <w:t xml:space="preserve">The Olympic side needs its closures sorted by reason, and Athens shows</w:t>
      </w:r>
      <w:r>
        <w:rPr>
          <w:b/>
          <w:bCs/>
        </w:rPr>
        <w:t xml:space="preserve"> </w:t>
      </w:r>
      <w:r>
        <w:rPr>
          <w:b/>
          <w:bCs/>
        </w:rPr>
        <w:t xml:space="preserve">why:</w:t>
      </w:r>
      <w:r>
        <w:t xml:space="preserve"> </w:t>
      </w:r>
      <w:r>
        <w:t xml:space="preserve">Of the 123 Olympic venues recorded as not in use, 83 say</w:t>
      </w:r>
      <w:r>
        <w:t xml:space="preserve"> </w:t>
      </w:r>
      <w:r>
        <w:t xml:space="preserve">demolished somewhere in the status text and 40 do not. It is tempting to</w:t>
      </w:r>
      <w:r>
        <w:t xml:space="preserve"> </w:t>
      </w:r>
      <w:r>
        <w:t xml:space="preserve">treat that second group as still standing and therefore not failures at</w:t>
      </w:r>
      <w:r>
        <w:t xml:space="preserve"> </w:t>
      </w:r>
      <w:r>
        <w:t xml:space="preserve">all, but that would be a mistake. A single Olympic Games uses dozens of</w:t>
      </w:r>
      <w:r>
        <w:t xml:space="preserve"> </w:t>
      </w:r>
      <w:r>
        <w:t xml:space="preserve">venues at once, so one edition can account for a large block of rows,</w:t>
      </w:r>
      <w:r>
        <w:t xml:space="preserve"> </w:t>
      </w:r>
      <w:r>
        <w:t xml:space="preserve">and nine of those 40 are Athens 2004 venues. That is the largest single</w:t>
      </w:r>
      <w:r>
        <w:t xml:space="preserve"> </w:t>
      </w:r>
      <w:r>
        <w:t xml:space="preserve">cluster by a factor of three, and eight of the nine were built new for</w:t>
      </w:r>
      <w:r>
        <w:t xml:space="preserve"> </w:t>
      </w:r>
      <w:r>
        <w:t xml:space="preserve">those Games. A rule that quietly moved all nine into the non-failure</w:t>
      </w:r>
      <w:r>
        <w:t xml:space="preserve"> </w:t>
      </w:r>
      <w:r>
        <w:t xml:space="preserve">bucket would take a whole edition’s worth of purpose-built, now-unused</w:t>
      </w:r>
      <w:r>
        <w:t xml:space="preserve"> </w:t>
      </w:r>
      <w:r>
        <w:t xml:space="preserve">venues out of the data. This is the concrete argument for hand-coding</w:t>
      </w:r>
      <w:r>
        <w:t xml:space="preserve"> </w:t>
      </w:r>
      <w:r>
        <w:t xml:space="preserve">the reason on the Olympic side the way we did for the World Cup, rather</w:t>
      </w:r>
      <w:r>
        <w:t xml:space="preserve"> </w:t>
      </w:r>
      <w:r>
        <w:t xml:space="preserve">than sorting by status text.</w:t>
      </w:r>
    </w:p>
    <w:p>
      <w:pPr>
        <w:pStyle w:val="BodyText"/>
      </w:pPr>
      <w:r>
        <w:rPr>
          <w:b/>
          <w:bCs/>
        </w:rPr>
        <w:t xml:space="preserve">Two things to be careful about in the numbers:</w:t>
      </w:r>
      <w:r>
        <w:t xml:space="preserve"> </w:t>
      </w:r>
      <w:r>
        <w:t xml:space="preserve">The GDP figure is</w:t>
      </w:r>
      <w:r>
        <w:t xml:space="preserve"> </w:t>
      </w:r>
      <w:r>
        <w:t xml:space="preserve">nominal (current dollars), so the same country shows a much higher</w:t>
      </w:r>
      <w:r>
        <w:t xml:space="preserve"> </w:t>
      </w:r>
      <w:r>
        <w:t xml:space="preserve">number in a later year. Mexico is about $481 in 1964 and $2,170 in</w:t>
      </w:r>
      <w:r>
        <w:t xml:space="preserve"> </w:t>
      </w:r>
      <w:r>
        <w:t xml:space="preserve">1983, which is mostly inflation rather than genuine growth. Some of the</w:t>
      </w:r>
      <w:r>
        <w:t xml:space="preserve"> </w:t>
      </w:r>
      <w:r>
        <w:t xml:space="preserve">GDP-to-year correlation is just that. And corruption scores are almost</w:t>
      </w:r>
      <w:r>
        <w:t xml:space="preserve"> </w:t>
      </w:r>
      <w:r>
        <w:t xml:space="preserve">entirely missing, because that data only starts in 2012. On the World</w:t>
      </w:r>
      <w:r>
        <w:t xml:space="preserve"> </w:t>
      </w:r>
      <w:r>
        <w:t xml:space="preserve">Cup side we have exactly nine rows with a corruption score. All nine are</w:t>
      </w:r>
      <w:r>
        <w:t xml:space="preserve"> </w:t>
      </w:r>
      <w:r>
        <w:t xml:space="preserve">French stadiums from the 2019 Women’s World Cup, which was awarded in</w:t>
      </w:r>
      <w:r>
        <w:t xml:space="preserve"> </w:t>
      </w:r>
      <w:r>
        <w:t xml:space="preserve">2015. That is the only tournament in our data awarded after the index</w:t>
      </w:r>
      <w:r>
        <w:t xml:space="preserve"> </w:t>
      </w:r>
      <w:r>
        <w:t xml:space="preserve">begins. Every one of those nine rows carries the same value and shows no</w:t>
      </w:r>
      <w:r>
        <w:t xml:space="preserve"> </w:t>
      </w:r>
      <w:r>
        <w:t xml:space="preserve">variation at all. Corruption can only be a predictor on</w:t>
      </w:r>
      <w:r>
        <w:t xml:space="preserve"> </w:t>
      </w:r>
      <w:r>
        <w:t xml:space="preserve">recent editions, if we keep it at all.</w:t>
      </w:r>
    </w:p>
    <w:p>
      <w:pPr>
        <w:pStyle w:val="BodyText"/>
      </w:pPr>
      <w:r>
        <w:rPr>
          <w:b/>
          <w:bCs/>
        </w:rPr>
        <w:t xml:space="preserve">What has changed in the analysis plan:</w:t>
      </w:r>
      <w:r>
        <w:t xml:space="preserve"> </w:t>
      </w:r>
      <w:r>
        <w:t xml:space="preserve">This pass and the feedback on</w:t>
      </w:r>
      <w:r>
        <w:t xml:space="preserve"> </w:t>
      </w:r>
      <w:r>
        <w:t xml:space="preserve">our proposal change three things and add a fourth. First, we are</w:t>
      </w:r>
      <w:r>
        <w:t xml:space="preserve"> </w:t>
      </w:r>
      <w:r>
        <w:t xml:space="preserve">switching our main scoring measure from AUC to PR-AUC. Both are ways of</w:t>
      </w:r>
      <w:r>
        <w:t xml:space="preserve"> </w:t>
      </w:r>
      <w:r>
        <w:t xml:space="preserve">grading how well a model separates the two outcomes. PR-AUC judges it</w:t>
      </w:r>
      <w:r>
        <w:t xml:space="preserve"> </w:t>
      </w:r>
      <w:r>
        <w:t xml:space="preserve">specifically on how well it finds the rare cases, which is what we care</w:t>
      </w:r>
      <w:r>
        <w:t xml:space="preserve"> </w:t>
      </w:r>
      <w:r>
        <w:t xml:space="preserve">about here. AUC can look respectable even when the model misses most of</w:t>
      </w:r>
      <w:r>
        <w:t xml:space="preserve"> </w:t>
      </w:r>
      <w:r>
        <w:t xml:space="preserve">them. Second, seating capacity is a World Cup only</w:t>
      </w:r>
      <w:r>
        <w:t xml:space="preserve"> </w:t>
      </w:r>
      <w:r>
        <w:t xml:space="preserve">predictor for now, because the IOC tables do not record it. We are</w:t>
      </w:r>
      <w:r>
        <w:t xml:space="preserve"> </w:t>
      </w:r>
      <w:r>
        <w:t xml:space="preserve">running a single Wikidata pull this week to collect Olympic venue</w:t>
      </w:r>
      <w:r>
        <w:t xml:space="preserve"> </w:t>
      </w:r>
      <w:r>
        <w:t xml:space="preserve">capacity and coordinates together. If it comes back with usable</w:t>
      </w:r>
      <w:r>
        <w:t xml:space="preserve"> </w:t>
      </w:r>
      <w:r>
        <w:t xml:space="preserve">coverage, capacity goes back to being a predictor for both events. If it</w:t>
      </w:r>
      <w:r>
        <w:t xml:space="preserve"> </w:t>
      </w:r>
      <w:r>
        <w:t xml:space="preserve">does not, we will fit one model without capacity across both events, and</w:t>
      </w:r>
      <w:r>
        <w:t xml:space="preserve"> </w:t>
      </w:r>
      <w:r>
        <w:t xml:space="preserve">a second World Cup only model that includes it. Comparing the two shows</w:t>
      </w:r>
      <w:r>
        <w:t xml:space="preserve"> </w:t>
      </w:r>
      <w:r>
        <w:t xml:space="preserve">what the predictor is worth. Third, the results in Figures 5</w:t>
      </w:r>
      <w:r>
        <w:t xml:space="preserve"> </w:t>
      </w:r>
      <w:r>
        <w:t xml:space="preserve">and 6 run against our stated hypothesis on both sides, so the hypothesis</w:t>
      </w:r>
      <w:r>
        <w:t xml:space="preserve"> </w:t>
      </w:r>
      <w:r>
        <w:t xml:space="preserve">as written is already in doubt. Before we can say anything about build</w:t>
      </w:r>
      <w:r>
        <w:t xml:space="preserve"> </w:t>
      </w:r>
      <w:r>
        <w:t xml:space="preserve">status we have to add how old each venue is. Existing venues are older</w:t>
      </w:r>
      <w:r>
        <w:t xml:space="preserve"> </w:t>
      </w:r>
      <w:r>
        <w:t xml:space="preserve">on average, so some of what looks like an effect of build status is</w:t>
      </w:r>
      <w:r>
        <w:t xml:space="preserve"> </w:t>
      </w:r>
      <w:r>
        <w:t xml:space="preserve">probably an effect of age. Fourth, we are adding a fallback we did not</w:t>
      </w:r>
      <w:r>
        <w:t xml:space="preserve"> </w:t>
      </w:r>
      <w:r>
        <w:t xml:space="preserve">have before. The failures may turn out to be too rare for a model to</w:t>
      </w:r>
      <w:r>
        <w:t xml:space="preserve"> </w:t>
      </w:r>
      <w:r>
        <w:t xml:space="preserve">learn a pattern from. If so, we will finish on the descriptive work and</w:t>
      </w:r>
      <w:r>
        <w:t xml:space="preserve"> </w:t>
      </w:r>
      <w:r>
        <w:t xml:space="preserve">the clustering step already in our plan, rather than force a prediction</w:t>
      </w:r>
      <w:r>
        <w:t xml:space="preserve"> </w:t>
      </w:r>
      <w:r>
        <w:t xml:space="preserve">the data cannot support. We will make that call after the first full</w:t>
      </w:r>
      <w:r>
        <w:t xml:space="preserve"> </w:t>
      </w:r>
      <w:r>
        <w:t xml:space="preserve">evaluation run, not at the end of the project. By then we can see the</w:t>
      </w:r>
      <w:r>
        <w:t xml:space="preserve"> </w:t>
      </w:r>
      <w:r>
        <w:t xml:space="preserve">PR-AUC scores next to a baseline that simply guesses that every venue</w:t>
      </w:r>
      <w:r>
        <w:t xml:space="preserve"> </w:t>
      </w:r>
      <w:r>
        <w:t xml:space="preserve">stays in use.</w:t>
      </w:r>
    </w:p>
    <w:p>
      <w:pPr>
        <w:pStyle w:val="BodyText"/>
      </w:pPr>
      <w:r>
        <w:rPr>
          <w:b/>
          <w:bCs/>
        </w:rPr>
        <w:t xml:space="preserve">Data cleaning and preprocessing plan:</w:t>
      </w:r>
      <w:r>
        <w:t xml:space="preserve"> </w:t>
      </w:r>
      <w:r>
        <w:t xml:space="preserve">We will bring the Olympic</w:t>
      </w:r>
      <w:r>
        <w:t xml:space="preserve"> </w:t>
      </w:r>
      <w:r>
        <w:t xml:space="preserve">status data up to the structure we already use on the World Cup side. It</w:t>
      </w:r>
      <w:r>
        <w:t xml:space="preserve"> </w:t>
      </w:r>
      <w:r>
        <w:t xml:space="preserve">keeps three things apart: the plain status (in use or not in use), a</w:t>
      </w:r>
      <w:r>
        <w:t xml:space="preserve"> </w:t>
      </w:r>
      <w:r>
        <w:t xml:space="preserve">short detail note (such as rebuilt or demolished), and the reason a</w:t>
      </w:r>
      <w:r>
        <w:t xml:space="preserve"> </w:t>
      </w:r>
      <w:r>
        <w:t xml:space="preserve">venue closed. The reasons are replaced by a newer stadium, urban</w:t>
      </w:r>
      <w:r>
        <w:t xml:space="preserve"> </w:t>
      </w:r>
      <w:r>
        <w:t xml:space="preserve">redevelopment, war, or genuine abandonment. The Olympic side currently</w:t>
      </w:r>
      <w:r>
        <w:t xml:space="preserve"> </w:t>
      </w:r>
      <w:r>
        <w:t xml:space="preserve">packs the status and the detail into one text field and has no reason</w:t>
      </w:r>
      <w:r>
        <w:t xml:space="preserve"> </w:t>
      </w:r>
      <w:r>
        <w:t xml:space="preserve">recorded. We are hand-coding the reason for the 40 not-demolished</w:t>
      </w:r>
      <w:r>
        <w:t xml:space="preserve"> </w:t>
      </w:r>
      <w:r>
        <w:t xml:space="preserve">venues this week, using the same categories we used for the World Cup.</w:t>
      </w:r>
      <w:r>
        <w:t xml:space="preserve"> </w:t>
      </w:r>
      <w:r>
        <w:t xml:space="preserve">That way both halves count a failure the same way. We are keeping the</w:t>
      </w:r>
      <w:r>
        <w:t xml:space="preserve"> </w:t>
      </w:r>
      <w:r>
        <w:t xml:space="preserve">detail notes rather than</w:t>
      </w:r>
      <w:r>
        <w:t xml:space="preserve"> </w:t>
      </w:r>
      <w:r>
        <w:t xml:space="preserve">dropping them. Whether a venue was demolished or merely closed, and</w:t>
      </w:r>
      <w:r>
        <w:t xml:space="preserve"> </w:t>
      </w:r>
      <w:r>
        <w:t xml:space="preserve">whether it was temporary, both matter for deciding what counts as a</w:t>
      </w:r>
      <w:r>
        <w:t xml:space="preserve"> </w:t>
      </w:r>
      <w:r>
        <w:t xml:space="preserve">white elephant.</w:t>
      </w:r>
    </w:p>
    <w:p>
      <w:pPr>
        <w:pStyle w:val="BodyText"/>
      </w:pPr>
      <w:r>
        <w:t xml:space="preserve">We will also decide how to rescale the skewed predictors (capacity, GDP,</w:t>
      </w:r>
      <w:r>
        <w:t xml:space="preserve"> </w:t>
      </w:r>
      <w:r>
        <w:t xml:space="preserve">population). Rescaling here means putting a variable on a different</w:t>
      </w:r>
      <w:r>
        <w:t xml:space="preserve"> </w:t>
      </w:r>
      <w:r>
        <w:t xml:space="preserve">scale, most likely a log scale, so that a handful of very large values</w:t>
      </w:r>
      <w:r>
        <w:t xml:space="preserve"> </w:t>
      </w:r>
      <w:r>
        <w:t xml:space="preserve">does not pull the model around. We will settle whether to use GDP as-is</w:t>
      </w:r>
      <w:r>
        <w:t xml:space="preserve"> </w:t>
      </w:r>
      <w:r>
        <w:t xml:space="preserve">or adjust it so that eras compare fairly. We will widen any region and</w:t>
      </w:r>
      <w:r>
        <w:t xml:space="preserve"> </w:t>
      </w:r>
      <w:r>
        <w:t xml:space="preserve">era buckets that hold too few venues to report separately, since a</w:t>
      </w:r>
      <w:r>
        <w:t xml:space="preserve"> </w:t>
      </w:r>
      <w:r>
        <w:t xml:space="preserve">result computed from three or four venues is not worth reporting. Two</w:t>
      </w:r>
      <w:r>
        <w:t xml:space="preserve"> </w:t>
      </w:r>
      <w:r>
        <w:t xml:space="preserve">former host nations (Soviet Union and Yugoslavia) no longer exist and</w:t>
      </w:r>
      <w:r>
        <w:t xml:space="preserve"> </w:t>
      </w:r>
      <w:r>
        <w:t xml:space="preserve">carry no modern country data. Those venues will keep gaps in the</w:t>
      </w:r>
      <w:r>
        <w:t xml:space="preserve"> </w:t>
      </w:r>
      <w:r>
        <w:t xml:space="preserve">country-level predictors whatever else we do.</w:t>
      </w:r>
    </w:p>
    <w:p>
      <w:pPr>
        <w:pStyle w:val="BodyText"/>
      </w:pPr>
      <w:r>
        <w:t xml:space="preserve">Finally, the distance-to-city-center predictor still needs building, and</w:t>
      </w:r>
      <w:r>
        <w:t xml:space="preserve"> </w:t>
      </w:r>
      <w:r>
        <w:t xml:space="preserve">that work is smaller than we thought when we wrote the proposal. We</w:t>
      </w:r>
      <w:r>
        <w:t xml:space="preserve"> </w:t>
      </w:r>
      <w:r>
        <w:t xml:space="preserve">already have coordinates for 237 of the 238 distinct World Cup stadiums</w:t>
      </w:r>
      <w:r>
        <w:t xml:space="preserve"> </w:t>
      </w:r>
      <w:r>
        <w:t xml:space="preserve">from the Wikidata pull. The United Nations city population file carries</w:t>
      </w:r>
      <w:r>
        <w:t xml:space="preserve"> </w:t>
      </w:r>
      <w:r>
        <w:t xml:space="preserve">a longitude and latitude for every city in it, so the city-center end is</w:t>
      </w:r>
      <w:r>
        <w:t xml:space="preserve"> </w:t>
      </w:r>
      <w:r>
        <w:t xml:space="preserve">in hand for both events. Two things are missing. The first is</w:t>
      </w:r>
      <w:r>
        <w:t xml:space="preserve"> </w:t>
      </w:r>
      <w:r>
        <w:t xml:space="preserve">coordinates for the Olympic venues themselves, which the Wikidata pull</w:t>
      </w:r>
      <w:r>
        <w:t xml:space="preserve"> </w:t>
      </w:r>
      <w:r>
        <w:t xml:space="preserve">will cover alongside capacity. The second is a name-matching pass</w:t>
      </w:r>
      <w:r>
        <w:t xml:space="preserve"> </w:t>
      </w:r>
      <w:r>
        <w:t xml:space="preserve">to line host cities up with the United Nations file. Exact name matching</w:t>
      </w:r>
      <w:r>
        <w:t xml:space="preserve"> </w:t>
      </w:r>
      <w:r>
        <w:t xml:space="preserve">currently gets 156 of 202 World Cup host cities and 26 of 43 Olympic</w:t>
      </w:r>
      <w:r>
        <w:t xml:space="preserve"> </w:t>
      </w:r>
      <w:r>
        <w:t xml:space="preserve">host cities. The rest have to be paired by hand.</w:t>
      </w:r>
    </w:p>
    <w:bookmarkEnd w:id="39"/>
    <w:bookmarkStart w:id="41" w:name="appendix-data-dictionary"/>
    <w:p>
      <w:pPr>
        <w:pStyle w:val="Heading1"/>
      </w:pPr>
      <w:r>
        <w:t xml:space="preserve">Appendix: Data Dictionary</w:t>
      </w:r>
    </w:p>
    <w:p>
      <w:pPr>
        <w:pStyle w:val="FirstParagraph"/>
      </w:pPr>
      <w:r>
        <w:t xml:space="preserve">We keep the data dictionary as a Markdown file in our GitHub repo, next</w:t>
      </w:r>
      <w:r>
        <w:t xml:space="preserve"> </w:t>
      </w:r>
      <w:r>
        <w:t xml:space="preserve">to the data it describes, so it stays current as the tables change:</w:t>
      </w:r>
    </w:p>
    <w:p>
      <w:pPr>
        <w:pStyle w:val="BodyText"/>
      </w:pPr>
      <w:hyperlink r:id="rId40">
        <w:r>
          <w:rPr>
            <w:rStyle w:val="Hyperlink"/>
          </w:rPr>
          <w:t xml:space="preserve">https://github.com/Smoothspinner/sports-urbanism-capstone/blob/main/reports/EDA/data_dictionary.md</w:t>
        </w:r>
      </w:hyperlink>
    </w:p>
    <w:p>
      <w:pPr>
        <w:pStyle w:val="BodyText"/>
      </w:pPr>
      <w:r>
        <w:t xml:space="preserve">It lists every column in the two joined tables</w:t>
      </w:r>
      <w:r>
        <w:t xml:space="preserve"> </w:t>
      </w:r>
      <w:r>
        <w:t xml:space="preserve">(worldcup_stadiums_joined.csv and olympic_venues_joined.csv) with its</w:t>
      </w:r>
      <w:r>
        <w:t xml:space="preserve"> </w:t>
      </w:r>
      <w:r>
        <w:t xml:space="preserve">type and a short note, and ends with the gaps we still have at this</w:t>
      </w:r>
      <w:r>
        <w:t xml:space="preserve"> </w:t>
      </w:r>
      <w:r>
        <w:t xml:space="preserve">stage.</w:t>
      </w:r>
    </w:p>
    <w:bookmarkEnd w:id="41"/>
    <w:bookmarkStart w:id="42" w:name="references"/>
    <w:p>
      <w:pPr>
        <w:pStyle w:val="Heading1"/>
      </w:pPr>
      <w:r>
        <w:t xml:space="preserve">References</w:t>
      </w:r>
    </w:p>
    <w:p>
      <w:pPr>
        <w:pStyle w:val="FirstParagraph"/>
      </w:pPr>
      <w:r>
        <w:t xml:space="preserve">Alm, Jens, Harry Arne Solberg, Rasmus K. Storm, and Tor Georg Jakobsen.</w:t>
      </w:r>
      <w:r>
        <w:t xml:space="preserve"> </w:t>
      </w:r>
      <w:r>
        <w:t xml:space="preserve">2016.</w:t>
      </w:r>
      <w:r>
        <w:t xml:space="preserve"> </w:t>
      </w:r>
      <w:r>
        <w:t xml:space="preserve">“Hosting Major Sports Events: The Challenge of Taming White</w:t>
      </w:r>
      <w:r>
        <w:t xml:space="preserve"> </w:t>
      </w:r>
      <w:r>
        <w:t xml:space="preserve">Elephants.”</w:t>
      </w:r>
      <w:r>
        <w:t xml:space="preserve"> </w:t>
      </w:r>
      <w:r>
        <w:rPr>
          <w:i/>
          <w:iCs/>
        </w:rPr>
        <w:t xml:space="preserve">Leisure Studies</w:t>
      </w:r>
      <w:r>
        <w:t xml:space="preserve"> </w:t>
      </w:r>
      <w:r>
        <w:t xml:space="preserve">35 (5): 564-582.</w:t>
      </w:r>
      <w:r>
        <w:t xml:space="preserve"> </w:t>
      </w:r>
      <w:r>
        <w:t xml:space="preserve">https://doi.org/10.1080/02614367.2014.994550.</w:t>
      </w:r>
    </w:p>
    <w:p>
      <w:pPr>
        <w:pStyle w:val="BodyText"/>
      </w:pPr>
      <w:r>
        <w:t xml:space="preserve">Fjelstul, Joshua C. 2022.</w:t>
      </w:r>
      <w:r>
        <w:t xml:space="preserve"> </w:t>
      </w:r>
      <w:r>
        <w:rPr>
          <w:i/>
          <w:iCs/>
        </w:rPr>
        <w:t xml:space="preserve">worldcup: A Comprehensive Database on the</w:t>
      </w:r>
      <w:r>
        <w:rPr>
          <w:i/>
          <w:iCs/>
        </w:rPr>
        <w:t xml:space="preserve"> </w:t>
      </w:r>
      <w:r>
        <w:rPr>
          <w:i/>
          <w:iCs/>
        </w:rPr>
        <w:t xml:space="preserve">FIFA World Cup</w:t>
      </w:r>
      <w:r>
        <w:t xml:space="preserve">. R package version 0.1.0.</w:t>
      </w:r>
      <w:r>
        <w:t xml:space="preserve"> </w:t>
      </w:r>
      <w:r>
        <w:t xml:space="preserve">https://github.com/jfjelstul/worldcup.</w:t>
      </w:r>
    </w:p>
    <w:p>
      <w:pPr>
        <w:pStyle w:val="BodyText"/>
      </w:pPr>
      <w:r>
        <w:t xml:space="preserve">International Olympic Committee, Olympic Studies Centre. 2025.</w:t>
      </w:r>
      <w:r>
        <w:t xml:space="preserve"> </w:t>
      </w:r>
      <w:r>
        <w:rPr>
          <w:i/>
          <w:iCs/>
        </w:rPr>
        <w:t xml:space="preserve">Over 125</w:t>
      </w:r>
      <w:r>
        <w:rPr>
          <w:i/>
          <w:iCs/>
        </w:rPr>
        <w:t xml:space="preserve"> </w:t>
      </w:r>
      <w:r>
        <w:rPr>
          <w:i/>
          <w:iCs/>
        </w:rPr>
        <w:t xml:space="preserve">Years of Olympic Venues: Post-Games Use</w:t>
      </w:r>
      <w:r>
        <w:t xml:space="preserve">. Lausanne: International</w:t>
      </w:r>
      <w:r>
        <w:t xml:space="preserve"> </w:t>
      </w:r>
      <w:r>
        <w:t xml:space="preserve">Olympic Committee (OSC Reference Collection).</w:t>
      </w:r>
    </w:p>
    <w:p>
      <w:pPr>
        <w:pStyle w:val="BodyText"/>
      </w:pPr>
      <w:r>
        <w:t xml:space="preserve">Transparency International. 2025.</w:t>
      </w:r>
      <w:r>
        <w:t xml:space="preserve"> </w:t>
      </w:r>
      <w:r>
        <w:rPr>
          <w:i/>
          <w:iCs/>
        </w:rPr>
        <w:t xml:space="preserve">Corruption Perceptions Index</w:t>
      </w:r>
      <w:r>
        <w:t xml:space="preserve">.</w:t>
      </w:r>
      <w:r>
        <w:t xml:space="preserve"> </w:t>
      </w:r>
      <w:r>
        <w:t xml:space="preserve">Berlin: Transparency International. https://www.transparency.org/en/cpi.</w:t>
      </w:r>
    </w:p>
    <w:p>
      <w:pPr>
        <w:pStyle w:val="BodyText"/>
      </w:pPr>
      <w:r>
        <w:t xml:space="preserve">United Nations, Department of Economic and Social Affairs, Population</w:t>
      </w:r>
      <w:r>
        <w:t xml:space="preserve"> </w:t>
      </w:r>
      <w:r>
        <w:t xml:space="preserve">Division. 2025.</w:t>
      </w:r>
      <w:r>
        <w:t xml:space="preserve"> </w:t>
      </w:r>
      <w:r>
        <w:rPr>
          <w:i/>
          <w:iCs/>
        </w:rPr>
        <w:t xml:space="preserve">World Urbanization Prospects</w:t>
      </w:r>
      <w:r>
        <w:t xml:space="preserve">. New York: United</w:t>
      </w:r>
      <w:r>
        <w:t xml:space="preserve"> </w:t>
      </w:r>
      <w:r>
        <w:t xml:space="preserve">Nations. https://population.un.org/wup/.</w:t>
      </w:r>
    </w:p>
    <w:p>
      <w:pPr>
        <w:pStyle w:val="BodyText"/>
      </w:pPr>
      <w:r>
        <w:t xml:space="preserve">Wikidata contributors. 2025.</w:t>
      </w:r>
      <w:r>
        <w:t xml:space="preserve"> </w:t>
      </w:r>
      <w:r>
        <w:rPr>
          <w:i/>
          <w:iCs/>
        </w:rPr>
        <w:t xml:space="preserve">Wikidata</w:t>
      </w:r>
      <w:r>
        <w:t xml:space="preserve">. Wikimedia Foundation.</w:t>
      </w:r>
      <w:r>
        <w:t xml:space="preserve"> </w:t>
      </w:r>
      <w:r>
        <w:t xml:space="preserve">https://www.wikidata.org. Stadium coordinates and opening years.</w:t>
      </w:r>
    </w:p>
    <w:p>
      <w:pPr>
        <w:pStyle w:val="BodyText"/>
      </w:pPr>
      <w:r>
        <w:t xml:space="preserve">World Bank. 2025.</w:t>
      </w:r>
      <w:r>
        <w:t xml:space="preserve"> </w:t>
      </w:r>
      <w:r>
        <w:t xml:space="preserve">“GDP per Capita (Current US$).”</w:t>
      </w:r>
      <w:r>
        <w:t xml:space="preserve"> </w:t>
      </w:r>
      <w:r>
        <w:rPr>
          <w:i/>
          <w:iCs/>
        </w:rPr>
        <w:t xml:space="preserve">World Development</w:t>
      </w:r>
      <w:r>
        <w:rPr>
          <w:i/>
          <w:iCs/>
        </w:rPr>
        <w:t xml:space="preserve"> </w:t>
      </w:r>
      <w:r>
        <w:rPr>
          <w:i/>
          <w:iCs/>
        </w:rPr>
        <w:t xml:space="preserve">Indicators</w:t>
      </w:r>
      <w:r>
        <w:t xml:space="preserve">. Washington, DC: World Bank. https://data.worldbank.org.</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40" Target="https://github.com/Smoothspinner/sports-urbanism-capstone/blob/main/reports/EDA/data_dictionary.md"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Smoothspinner/sports-urbanism-capstone/blob/main/reports/EDA/data_dictiona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2026-07-28T04:51:31Z</dcterms:created>
  <dcterms:modified xsi:type="dcterms:W3CDTF">2026-07-28T04:51:31Z</dcterms:modified>
</cp:coreProperties>
</file>

<file path=docProps/custom.xml><?xml version="1.0" encoding="utf-8"?>
<Properties xmlns="http://schemas.openxmlformats.org/officeDocument/2006/custom-properties" xmlns:vt="http://schemas.openxmlformats.org/officeDocument/2006/docPropsVTypes"/>
</file>