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Predicting “White Elephant” Outcomes for Olympic and World Cup Venues</w:t>
      </w:r>
    </w:p>
    <w:p>
      <w:pPr>
        <w:pStyle w:val="Heading2"/>
        <w:rPr/>
      </w:pPr>
      <w:r>
        <w:rPr/>
        <w:t>S6 Hyperparameter Tuning &amp; Model Evaluation Report, Team Gamma</w:t>
      </w:r>
    </w:p>
    <w:p>
      <w:pPr>
        <w:pStyle w:val="BodyText"/>
        <w:rPr/>
      </w:pPr>
      <w:r>
        <w:rPr/>
        <w:t>Martin Gotora (Team Lead) · Jonathan Layne (Documentation Lead) · Brian Wrenn (Communication Lead)</w:t>
      </w:r>
    </w:p>
    <w:p>
      <w:pPr>
        <w:pStyle w:val="BodyText"/>
        <w:rPr/>
      </w:pPr>
      <w:r>
        <w:rPr/>
        <w:t xml:space="preserve">Repository: </w:t>
      </w:r>
      <w:hyperlink r:id="rId2">
        <w:r>
          <w:rPr>
            <w:rStyle w:val="Hyperlink"/>
          </w:rPr>
          <w:t>https://github.com/Smoothspinner/sports-urbanism-capstone</w:t>
        </w:r>
      </w:hyperlink>
    </w:p>
    <w:p>
      <w:pPr>
        <w:pStyle w:val="Heading1"/>
        <w:rPr/>
      </w:pPr>
      <w:bookmarkStart w:id="0" w:name="background-and-question"/>
      <w:r>
        <w:rPr/>
        <w:t>Background and Question</w:t>
      </w:r>
    </w:p>
    <w:p>
      <w:pPr>
        <w:pStyle w:val="FirstParagraph"/>
        <w:rPr/>
      </w:pPr>
      <w:r>
        <w:rPr/>
        <w:t>Cities that host the Olympics or the World Cup build venues that see heavy use for a few weeks and then have to justify their upkeep for decades. Some manage it. Others sit empty while the host city keeps paying for them.</w:t>
      </w:r>
    </w:p>
    <w:p>
      <w:pPr>
        <w:pStyle w:val="BodyText"/>
        <w:rPr/>
      </w:pPr>
      <w:r>
        <w:rPr/>
        <w:t>Our research question hasn’t changed. We’re still asking whether information available before a venue is built (design purpose, capacity, event type, host-country income and corruption, newly built status, and distance from the host city center) can predict whether that venue stays in active use or becomes a white elephant.</w:t>
      </w:r>
    </w:p>
    <w:p>
      <w:pPr>
        <w:pStyle w:val="BodyText"/>
        <w:rPr/>
      </w:pPr>
      <w:r>
        <w:rPr/>
        <w:t>Neither has the outcome. Of the 106 Olympic rows earlier reports counted as failures, 69 are urban redevelopment, 6 replacement by a successor stadium, and 5 war, none of them failures of the kind we set out to study. The remaining 26 are the target, 3.0% of our 875 rows.</w:t>
      </w:r>
    </w:p>
    <w:p>
      <w:pPr>
        <w:pStyle w:val="BodyText"/>
        <w:rPr/>
      </w:pPr>
      <w:r>
        <w:rPr/>
        <w:t>What changed this sprint is not the question but the reliability of our answer to it. Feedback on the M05 Baseline Models flagged a data leakage issue in how our cross-validation folds were built. Sprint 6 was built around fixing that before any tuning; the issue and the fix are described under Methods below.</w:t>
      </w:r>
    </w:p>
    <w:p>
      <w:pPr>
        <w:pStyle w:val="BodyText"/>
        <w:rPr/>
      </w:pPr>
      <w:r>
        <w:rPr/>
        <w:t>Our hypothesis and prediction stand as written: venues that are newly built, single purpose, and far from the host city center become white elephants more often, because long-term use was never the point of building them; we predicted newly built status and design purpose would come out as the strongest predictors and that the model would beat a naïve guess. Design purpose is still unmeasured on the Olympic side, so the hypothesis remains only partly testable. What Sprint 6 adds is that, once the Games-edition leakage above is corrected, our tunable models show no support for any of the predictors we can currently test, including newly built status (see Results). We are not revising the hypothesis on that basis, since its central predictor is still missing from the model; we read this the way we read the Sprint 5 baseline, as a diagnostic about our current feature set rather than a verdict on the question itself.</w:t>
      </w:r>
      <w:bookmarkEnd w:id="0"/>
    </w:p>
    <w:p>
      <w:pPr>
        <w:pStyle w:val="Heading1"/>
        <w:rPr/>
      </w:pPr>
      <w:bookmarkStart w:id="1" w:name="methods"/>
      <w:r>
        <w:rPr/>
        <w:t>Methods</w:t>
      </w:r>
    </w:p>
    <w:p>
      <w:pPr>
        <w:pStyle w:val="FirstParagraph"/>
        <w:rPr/>
      </w:pPr>
      <w:r>
        <w:rPr/>
        <w:t>Sprint 5 fit two untuned baselines, logistic regression and LDA, on a four-predictor set (capacity, GDP percentile rank, host-city population percentile rank, and new-build status), evaluated with repeated 5-fold cross validation (5 folds x 10 repeats) and scored mainly on AUC, reporting 0.586 for logistic regression and 0.597 for LDA. That report already flagged two things to carry into this sprint: our observations cluster by Games edition rather than varying independently venue by venue, since GDP and city population are identical for every venue at the same Games, and capacity was marked as the next predictor to reconsider, since it is imputed for four rows in five.</w:t>
      </w:r>
    </w:p>
    <w:p>
      <w:pPr>
        <w:pStyle w:val="BodyText"/>
        <w:rPr/>
      </w:pPr>
      <w:r>
        <w:rPr/>
        <w:t>Feedback on the M05 report confirmed the clustering issue was a real modeling problem rather than only a limitation to mention: if cross validation folds are built randomly, venues from the same Games edition can end up split across the training and validation portions of a fold, so the model is effectively validated on numbers it already saw in training. We fixed this by building folds ourselves instead of letting caret assign them randomly. A custom function keeps every row from the same Games edition (games_year plus host_city) in a single fold, so no edition is ever split across training and validation, and greedily assigns editions to whichever fold currently has the fewest accumulated failures, so our 17 training failures spread as evenly as the grouping allows; the first repeat splits them 4, 4, 3, 3, 3. This grouped, repeated design, 5 folds x 10 repeats, 50 resamples, was applied to all three models tuned this sprint.</w:t>
      </w:r>
    </w:p>
    <w:p>
      <w:pPr>
        <w:pStyle w:val="BodyText"/>
        <w:rPr/>
      </w:pPr>
      <w:r>
        <w:rPr/>
        <w:t>For our first tunable model we fit an elastic net (glmnet) version of logistic regression. Logistic regression itself cannot be tuned, so this allowed us to introduce a genuinely tunable model while staying close to the interpretable baseline. Elastic net also performs its own coefficient shrinkage, a second overfitting control on top of the grouped cross-validation. We tuned alpha (0 to 1 in steps of 0.1, the ridge/LASSO blend) and lambda (30 values, log-spaced from 0.0001 to 10, the penalty strength) jointly, 330 combinations in total, because they control both the shrinkage balance and its overall strength, the model’s main defense against overfitting given how few failures we have to learn from.</w:t>
      </w:r>
    </w:p>
    <w:p>
      <w:pPr>
        <w:pStyle w:val="BodyText"/>
        <w:rPr/>
      </w:pPr>
      <w:r>
        <w:rPr/>
        <w:t>Capacity was marked in the Sprint 5 report as the next predictor to reconsider, but it turned out to still carry signal. A sensitivity check compared a predictor set with region swapped in for capacity against one with both included. Capacity was still contributing beyond what region alone captured, so we kept both. That check ran under the original, ungrouped cross-validation and only decided the predictor set; it is not a reported performance number. The final predictor set is log capacity, GDP percentile rank, host-city population percentile rank, new-build status, and region.</w:t>
      </w:r>
    </w:p>
    <w:p>
      <w:pPr>
        <w:pStyle w:val="BodyText"/>
        <w:rPr/>
      </w:pPr>
      <w:r>
        <w:rPr/>
        <w:t>For our second tunable model we fit a random forest, chosen because it carries fewer assumptions than the baselines: nothing about the shape of the relationship, no scaling, and no requirement that the predictors be unrelated to each other. It runs on the same five predictors. Region is one of four continents, which R turns into three yes/no columns, so the forest sees seven columns. The setting worth tuning is mtry, how many columns the forest can draw on at each split, and we compared mtry = 3, the rounded default for seven columns, against mtry = 7, every column available at every split.</w:t>
      </w:r>
    </w:p>
    <w:p>
      <w:pPr>
        <w:pStyle w:val="BodyText"/>
        <w:rPr/>
      </w:pPr>
      <w:r>
        <w:rPr/>
        <w:t>Gradient boosting was chosen as the third tunable model because it provides a more flexible tree-based approach than logistic regression while also differing from random forest in how the trees are built. Instead of fitting many independent trees and averaging them, gradient boosting builds trees sequentially so that each new tree focuses on correcting errors made by the previous trees. We used the same final predictor set as the other Sprint 6 models: log capacity, GDP percentile rank, host-city population percentile rank, new-build status, and region. The model used the same grouped 5-fold cross-validation repeated 10 times, keeping every venue from the same Games edition, together within a fold to avoid the edition-level leakage identified in the Sprint 5 feedback.</w:t>
      </w:r>
    </w:p>
    <w:p>
      <w:pPr>
        <w:pStyle w:val="BodyText"/>
        <w:rPr/>
      </w:pPr>
      <w:r>
        <w:rPr/>
        <w:t>We tuned three main GBM hyperparameters: the number of trees, tree depth, and learning rate. The tuning grid tested 50, 100, and 250 trees; depths of 1, 2, and 3; and learning rates of 0.01, 0.05, and 0.10. Minimum node size was held constant at 10. These parameters were selected because they control how complex the model becomes and how quickly it learns, which is especially important because there are only 17 white-elephant failures in the Olympic training data.</w:t>
      </w:r>
      <w:bookmarkEnd w:id="1"/>
    </w:p>
    <w:p>
      <w:pPr>
        <w:pStyle w:val="Heading1"/>
        <w:rPr/>
      </w:pPr>
      <w:r>
        <w:rPr/>
        <w:t>Results</w:t>
      </w:r>
    </w:p>
    <w:p>
      <w:pPr>
        <w:pStyle w:val="Heading2"/>
        <w:rPr/>
      </w:pPr>
      <w:bookmarkStart w:id="2" w:name="Xdee517b9f496c1d1f561add81d1b64579e85c21"/>
      <w:r>
        <w:rPr/>
        <w:t>Elastic Net / Penalized Logistic Regression</w:t>
      </w:r>
    </w:p>
    <w:p>
      <w:pPr>
        <w:pStyle w:val="FirstParagraph"/>
        <w:rPr/>
      </w:pPr>
      <w:r>
        <w:rPr>
          <w:b/>
          <w:bCs/>
        </w:rPr>
        <w:t>Fitted model:</w:t>
      </w:r>
      <w:r>
        <w:rPr/>
        <w:t xml:space="preserve"> we also checked all 330 combinations we tested, not just the one that came out on top, to understand why it landed where it did. None of them beat random guessing. 131 combinations were regularized enough to zero out every predictor, and all of those scored exactly 0.500 (chance level). The other 199 kept at least one real predictor, and every single one of those scored below chance, as low as 0.411. Even the weakest regularization we tested, which kept all seven predictor terms, only reached about 0.44.</w:t>
      </w:r>
    </w:p>
    <w:p>
      <w:pPr>
        <w:pStyle w:val="BodyText"/>
        <w:rPr/>
      </w:pPr>
      <w:r>
        <w:rPr/>
        <w:t>The model that zeroed everything out wasn't tied with a bunch of equally useless options. It was actually the best of everything we tried, because every version that kept real predictors did worse than a coin flip. That tells us something about our predictor set itself: these five predictors don't just fail to help, using them actually makes predictions worse. At the cutoff we'd normally use to turn probabilities into yes/no predictions, the model breaks down completely and can't produce a usable cutoff, so its predictions come out close to a coin flip: it correctly catches about half of true failures and correctly clears about half of the safe venues.</w:t>
      </w:r>
    </w:p>
    <w:p>
      <w:pPr>
        <w:pStyle w:val="BodyText"/>
        <w:rPr/>
      </w:pPr>
      <w:r>
        <w:rPr>
          <w:b/>
          <w:bCs/>
        </w:rPr>
        <w:t>Assumptions:</w:t>
      </w:r>
      <w:r>
        <w:rPr/>
        <w:t xml:space="preserve"> elastic net assumes the predictors relate to the outcome in a straight-line way, and that the observations don't affect each other once you account for those predictors. Grouping our CV folds by Games edition fixes the second part for how we test the model, but the original train/test split may still have a similar issue, covered under Discussion and Next Steps. We only looked at World Cup venues with a simple model that wasn't cross-validated, the same approach used for the baseline models, because there are only 3 to 4 total failures on that side, not enough to cross-validate.</w:t>
      </w:r>
    </w:p>
    <w:p>
      <w:pPr>
        <w:pStyle w:val="BodyText"/>
        <w:rPr/>
      </w:pPr>
      <w:r>
        <w:rPr>
          <w:b/>
          <w:bCs/>
        </w:rPr>
        <w:t>Overfitting</w:t>
      </w:r>
      <w:r>
        <w:rPr/>
        <w:t>: to control overfitting we used the grouped, repeated cross-validation described above, plus the shrinkage built into elastic net. Here, that shrinkage pushed the model all the way down to using no predictors at all. We read that as the model correctly refusing to rely on predictors that don't hold up, not as a sign our overfitting controls failed.</w:t>
      </w:r>
      <w:bookmarkEnd w:id="2"/>
    </w:p>
    <w:p>
      <w:pPr>
        <w:pStyle w:val="Heading2"/>
        <w:rPr/>
      </w:pPr>
      <w:bookmarkStart w:id="3" w:name="random-forest"/>
      <w:r>
        <w:rPr/>
        <w:t>Random Forest</w:t>
      </w:r>
    </w:p>
    <w:p>
      <w:pPr>
        <w:pStyle w:val="FirstParagraph"/>
        <w:rPr/>
      </w:pPr>
      <w:r>
        <w:rPr>
          <w:b/>
          <w:bCs/>
        </w:rPr>
        <w:t>Fitted model:</w:t>
      </w:r>
      <w:r>
        <w:rPr/>
        <w:t xml:space="preserve"> we fitted a random forest on the Olympic training rows, 561 rows carrying 17 failures across 53 Games editions, on the five predictors above. Note that the S5 baselines it gets compared against ran without region.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Fold construction</w:t>
            </w:r>
          </w:p>
        </w:tc>
        <w:tc>
          <w:tcPr>
            <w:tcW w:w="2640" w:type="dxa"/>
            <w:tcBorders>
              <w:bottom w:val="single" w:sz="6" w:space="0" w:color="000000"/>
            </w:tcBorders>
            <w:vAlign w:val="bottom"/>
          </w:tcPr>
          <w:p>
            <w:pPr>
              <w:pStyle w:val="Compact"/>
              <w:widowControl/>
              <w:spacing w:lineRule="auto" w:line="480" w:before="36" w:after="36"/>
              <w:jc w:val="righ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mtry = 3</w:t>
            </w:r>
          </w:p>
        </w:tc>
        <w:tc>
          <w:tcPr>
            <w:tcW w:w="2640" w:type="dxa"/>
            <w:tcBorders>
              <w:bottom w:val="single" w:sz="6" w:space="0" w:color="000000"/>
            </w:tcBorders>
            <w:vAlign w:val="bottom"/>
          </w:tcPr>
          <w:p>
            <w:pPr>
              <w:pStyle w:val="Compact"/>
              <w:widowControl/>
              <w:spacing w:lineRule="auto" w:line="480" w:before="36" w:after="36"/>
              <w:jc w:val="righ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mtry = 7</w:t>
            </w:r>
          </w:p>
        </w:tc>
      </w:tr>
      <w:tr>
        <w:trPr/>
        <w:tc>
          <w:tcPr>
            <w:tcW w:w="2640"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Ordinary repeated folds</w:t>
            </w:r>
          </w:p>
        </w:tc>
        <w:tc>
          <w:tcPr>
            <w:tcW w:w="2640" w:type="dxa"/>
            <w:tcBorders/>
          </w:tcPr>
          <w:p>
            <w:pPr>
              <w:pStyle w:val="Compact"/>
              <w:widowControl/>
              <w:spacing w:lineRule="auto" w:line="480" w:before="36" w:after="36"/>
              <w:jc w:val="righ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0.635</w:t>
            </w:r>
          </w:p>
        </w:tc>
        <w:tc>
          <w:tcPr>
            <w:tcW w:w="2640" w:type="dxa"/>
            <w:tcBorders/>
          </w:tcPr>
          <w:p>
            <w:pPr>
              <w:pStyle w:val="Compact"/>
              <w:widowControl/>
              <w:spacing w:lineRule="auto" w:line="480" w:before="36" w:after="36"/>
              <w:jc w:val="righ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0.638</w:t>
            </w:r>
          </w:p>
        </w:tc>
      </w:tr>
      <w:tr>
        <w:trPr/>
        <w:tc>
          <w:tcPr>
            <w:tcW w:w="2640"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Grouped by Games edition</w:t>
            </w:r>
          </w:p>
        </w:tc>
        <w:tc>
          <w:tcPr>
            <w:tcW w:w="2640" w:type="dxa"/>
            <w:tcBorders/>
          </w:tcPr>
          <w:p>
            <w:pPr>
              <w:pStyle w:val="Compact"/>
              <w:widowControl/>
              <w:spacing w:lineRule="auto" w:line="480" w:before="36" w:after="36"/>
              <w:jc w:val="righ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0.403</w:t>
            </w:r>
          </w:p>
        </w:tc>
        <w:tc>
          <w:tcPr>
            <w:tcW w:w="2640" w:type="dxa"/>
            <w:tcBorders/>
          </w:tcPr>
          <w:p>
            <w:pPr>
              <w:pStyle w:val="Compact"/>
              <w:widowControl/>
              <w:spacing w:lineRule="auto" w:line="480" w:before="36" w:after="36"/>
              <w:jc w:val="righ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0.416</w:t>
            </w:r>
          </w:p>
        </w:tc>
      </w:tr>
    </w:tbl>
    <w:p>
      <w:pPr>
        <w:pStyle w:val="BodyText"/>
        <w:rPr/>
      </w:pPr>
      <w:r>
        <w:rPr/>
        <w:t>Both figures are mean AUC across 50 folds, ten repeats of five. The gap between the two rows is the leakage result, taken up under Hyperparameter Tuning. Within either row the gap between mtry = 3 and mtry = 7 is far smaller than the fold-to-fold variation, which runs 0.12 to 0.13, so the tuning made no difference we can act on. Under grouped folds the forest doesn’t separate failed venues from surviving ones at all.</w:t>
      </w:r>
    </w:p>
    <w:p>
      <w:pPr>
        <w:pStyle w:val="BodyText"/>
        <w:rPr/>
      </w:pPr>
      <w:r>
        <w:rPr/>
        <w:t>Variable importance doesn’t point where our hypothesis expected. GDP percentile rank and the Europe column score highest, at 2.9 and 3.5; new-build status scores lowest at -4.7, and our hypothesis names new-build as one of its two strongest predictors. All of it sits inside a model scoring 0.416, so we don’t read much into these numbers.</w:t>
      </w:r>
    </w:p>
    <w:p>
      <w:pPr>
        <w:pStyle w:val="BodyText"/>
        <w:rPr/>
      </w:pPr>
      <w:r>
        <w:rPr>
          <w:b/>
          <w:bCs/>
        </w:rPr>
        <w:t>Assumptions:</w:t>
      </w:r>
      <w:r>
        <w:rPr/>
        <w:t xml:space="preserve"> a forest assumes nothing about the shape of the relationship, needs no scaling, and takes the imputed columns as they are. The assumption that matters here is independence, and it applies to how we test the model rather than to the model itself: venues from the same Olympics share one GDP figure and one host city population, so folds built at random put the same values on both sides. That is why the two rows of the table differ. At the default cutoff the forest labels every venue as not failed and catches none of the 17 failures, which at a 3% failure rate is expected rather than a defect, and is what our baselines did.</w:t>
      </w:r>
    </w:p>
    <w:p>
      <w:pPr>
        <w:pStyle w:val="BodyText"/>
        <w:rPr/>
      </w:pPr>
      <w:r>
        <w:rPr>
          <w:b/>
          <w:bCs/>
        </w:rPr>
        <w:t>Overfitting:</w:t>
      </w:r>
      <w:r>
        <w:rPr/>
        <w:t xml:space="preserve"> grouped repeated cross-validation is our control. Grouping keeps every venue from one Olympics inside a single fold; repeating ten times gives a range rather than one number a single unlucky split could have produced. With 17 failures across five folds, any one fold is scoring three or four real cases, so a single fold’s AUC means little on its own. We haven’t scored the forest on the test set, for the reason given in the Discussion.</w:t>
      </w:r>
      <w:bookmarkEnd w:id="3"/>
    </w:p>
    <w:p>
      <w:pPr>
        <w:pStyle w:val="Heading2"/>
        <w:rPr/>
      </w:pPr>
      <w:r>
        <w:rPr/>
        <w:t>GBM</w:t>
      </w:r>
    </w:p>
    <w:p>
      <w:pPr>
        <w:pStyle w:val="FirstParagraph"/>
        <w:rPr/>
      </w:pPr>
      <w:r>
        <w:rPr>
          <w:b/>
        </w:rPr>
        <w:t>Fitted model:</w:t>
      </w:r>
      <w:r>
        <w:rPr/>
        <w:t xml:space="preserve"> the best gradient boosting model used 250 trees, a tree depth of 1, a learning rate of 0.10, and a minimum node size of 10. Under the grouped cross-validation setup, the model produced a mean AUC of 0.492, which is approximately chance-level performance. AUC varied considerably across the 50 resamples, ranging from 0.127 to 0.865 with a standard deviation of 0.174. This amount of variation is consistent with the small number of white-elephant cases available for training, since each validation fold contains only about three to four failures.</w:t>
      </w:r>
    </w:p>
    <w:p>
      <w:pPr>
        <w:pStyle w:val="BodyText"/>
        <w:rPr/>
      </w:pPr>
      <w:r>
        <w:rPr/>
        <w:t>The variable importance results ranked GDP percentile as the most influential predictor in the fitted model, followed by log capacity and host-city population percentile. New-build status and the Europe region indicator contributed much less, while the Asia and Oceania region indicators had no measured importance. These importance values should be interpreted carefully because the model's overall AUC was below 0.50. A variable can still appear relatively important within a weak model even if the model itself does not provide useful predictive performance.</w:t>
      </w:r>
    </w:p>
    <w:p>
      <w:pPr>
        <w:pStyle w:val="BodyText"/>
        <w:rPr/>
      </w:pPr>
      <w:r>
        <w:rPr/>
        <w:t>Overall, the gradient boosting results were consistent with the other Sprint 6 models. After controlling for Games-edition leakage, the GBM did not outperform random guessing and did not provide evidence that the current predictor set can reliably distinguish white-elephant venues from venues that remain in use. The wide variation in fold-level AUC also suggests that the model's performance depends heavily on which small number of failures are included in each validation fold.</w:t>
      </w:r>
    </w:p>
    <w:p>
      <w:pPr>
        <w:pStyle w:val="BodyText"/>
        <w:rPr/>
      </w:pPr>
      <w:r>
        <w:rPr>
          <w:b/>
          <w:bCs/>
        </w:rPr>
        <w:t>Assumptions:</w:t>
      </w:r>
      <w:r>
        <w:rPr>
          <w:b w:val="0"/>
        </w:rPr>
        <w:t xml:space="preserve"> gradient boosting makes no assumption about the shape of the relationship between the predictors and the outcome, and requires no scaling of the inputs. Like the other two models it does assume the observations are independent, which is the assumption the Games-edition grouping addresses. Because the trees are fitted sequentially, each one correcting the errors of the last, the model is more sensitive to a small number of influential observations than the random forest is, which matters here given that only 17 white-elephant cases are available for training.</w:t>
      </w:r>
    </w:p>
    <w:p>
      <w:pPr>
        <w:pStyle w:val="BodyText"/>
        <w:rPr/>
      </w:pPr>
      <w:r>
        <w:rPr>
          <w:b/>
          <w:bCs/>
        </w:rPr>
        <w:t>Overfitting:</w:t>
      </w:r>
      <w:r>
        <w:rPr>
          <w:b w:val="0"/>
        </w:rPr>
        <w:t xml:space="preserve"> overfitting was controlled through the same grouped, repeated cross-validation used for the other two models, and through the tuning grid itself. Tree depth was limited to a maximum of 3, the minimum node size was held at 10, and the learning rates tested ranged from 0.01 to 0.10, all of which restrict how much any single tree can fit to the training data. The selected model used the shallowest depth tested, a depth of 1, which indicates that the additional flexibility available at greater depths did not improve cross-validated performance.</w:t>
      </w:r>
    </w:p>
    <w:tbl>
      <w:tblPr>
        <w:tblStyle w:val="Table"/>
        <w:tblW w:w="49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05"/>
        <w:gridCol w:w="1082"/>
        <w:gridCol w:w="4985"/>
      </w:tblGrid>
      <w:tr>
        <w:trPr>
          <w:tblHeader w:val="true"/>
        </w:trPr>
        <w:tc>
          <w:tcPr>
            <w:tcW w:w="3105" w:type="dxa"/>
            <w:tcBorders>
              <w:bottom w:val="single" w:sz="6" w:space="0" w:color="000000"/>
            </w:tcBorders>
            <w:vAlign w:val="bottom"/>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b/>
                <w:bCs/>
                <w:kern w:val="0"/>
                <w:sz w:val="24"/>
                <w:szCs w:val="24"/>
                <w:lang w:val="en-US" w:eastAsia="en-US" w:bidi="ar-SA"/>
              </w:rPr>
              <w:t>Model</w:t>
            </w:r>
          </w:p>
        </w:tc>
        <w:tc>
          <w:tcPr>
            <w:tcW w:w="1082" w:type="dxa"/>
            <w:tcBorders>
              <w:bottom w:val="single" w:sz="6" w:space="0" w:color="000000"/>
            </w:tcBorders>
            <w:vAlign w:val="bottom"/>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b/>
                <w:bCs/>
                <w:kern w:val="0"/>
                <w:sz w:val="24"/>
                <w:szCs w:val="24"/>
                <w:lang w:val="en-US" w:eastAsia="en-US" w:bidi="ar-SA"/>
              </w:rPr>
              <w:t>AUC (CV)</w:t>
            </w:r>
          </w:p>
        </w:tc>
        <w:tc>
          <w:tcPr>
            <w:tcW w:w="4985" w:type="dxa"/>
            <w:tcBorders>
              <w:bottom w:val="single" w:sz="6" w:space="0" w:color="000000"/>
            </w:tcBorders>
            <w:vAlign w:val="bottom"/>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b/>
                <w:bCs/>
                <w:kern w:val="0"/>
                <w:sz w:val="24"/>
                <w:szCs w:val="24"/>
                <w:lang w:val="en-US" w:eastAsia="en-US" w:bidi="ar-SA"/>
              </w:rPr>
              <w:t>Notes</w:t>
            </w:r>
          </w:p>
        </w:tc>
      </w:tr>
      <w:tr>
        <w:trPr/>
        <w:tc>
          <w:tcPr>
            <w:tcW w:w="3105"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Logistic regression (S5 baseline)</w:t>
            </w:r>
          </w:p>
        </w:tc>
        <w:tc>
          <w:tcPr>
            <w:tcW w:w="1082"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0.586</w:t>
            </w:r>
          </w:p>
        </w:tc>
        <w:tc>
          <w:tcPr>
            <w:tcW w:w="4985"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r>
          </w:p>
        </w:tc>
      </w:tr>
      <w:tr>
        <w:trPr/>
        <w:tc>
          <w:tcPr>
            <w:tcW w:w="3105"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LDA (S5 baseline)</w:t>
            </w:r>
          </w:p>
        </w:tc>
        <w:tc>
          <w:tcPr>
            <w:tcW w:w="1082"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0.597</w:t>
            </w:r>
          </w:p>
        </w:tc>
        <w:tc>
          <w:tcPr>
            <w:tcW w:w="4985"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r>
          </w:p>
        </w:tc>
      </w:tr>
      <w:tr>
        <w:trPr/>
        <w:tc>
          <w:tcPr>
            <w:tcW w:w="3105"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Elastic net (S6, grouped CV)</w:t>
            </w:r>
          </w:p>
        </w:tc>
        <w:tc>
          <w:tcPr>
            <w:tcW w:w="1082"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0.500</w:t>
            </w:r>
          </w:p>
        </w:tc>
        <w:tc>
          <w:tcPr>
            <w:tcW w:w="4985"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r>
          </w:p>
        </w:tc>
      </w:tr>
      <w:tr>
        <w:trPr/>
        <w:tc>
          <w:tcPr>
            <w:tcW w:w="3105"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Random forest, mtry = 3 (S6, grouped CV)</w:t>
            </w:r>
          </w:p>
        </w:tc>
        <w:tc>
          <w:tcPr>
            <w:tcW w:w="1082"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0.403</w:t>
            </w:r>
          </w:p>
        </w:tc>
        <w:tc>
          <w:tcPr>
            <w:tcW w:w="4985"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Ordinary folds give 0.635 on the same rows</w:t>
            </w:r>
          </w:p>
        </w:tc>
      </w:tr>
      <w:tr>
        <w:trPr/>
        <w:tc>
          <w:tcPr>
            <w:tcW w:w="3105"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Random forest, mtry = 7 (S6, grouped CV)</w:t>
            </w:r>
          </w:p>
        </w:tc>
        <w:tc>
          <w:tcPr>
            <w:tcW w:w="1082"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0.416</w:t>
            </w:r>
          </w:p>
        </w:tc>
        <w:tc>
          <w:tcPr>
            <w:tcW w:w="4985"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Ordinary folds give 0.638 on the same rows</w:t>
            </w:r>
          </w:p>
        </w:tc>
      </w:tr>
      <w:tr>
        <w:trPr/>
        <w:tc>
          <w:tcPr>
            <w:tcW w:w="3105"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GBM (S6)</w:t>
            </w:r>
          </w:p>
        </w:tc>
        <w:tc>
          <w:tcPr>
            <w:tcW w:w="1082"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0.492</w:t>
            </w:r>
          </w:p>
        </w:tc>
        <w:tc>
          <w:tcPr>
            <w:tcW w:w="4985"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Grouped CV; best tuning: 250 trees, depth = 1, learning rate = 0.1</w:t>
            </w:r>
            <w:bookmarkStart w:id="4" w:name="results"/>
            <w:bookmarkStart w:id="5" w:name="gbm"/>
            <w:bookmarkEnd w:id="4"/>
            <w:bookmarkEnd w:id="5"/>
          </w:p>
        </w:tc>
      </w:tr>
    </w:tbl>
    <w:p>
      <w:pPr>
        <w:pStyle w:val="Heading1"/>
        <w:rPr/>
      </w:pPr>
      <w:r>
        <w:rPr/>
        <w:t>Hyperparameter Tuning</w:t>
      </w:r>
    </w:p>
    <w:p>
      <w:pPr>
        <w:pStyle w:val="FirstParagraph"/>
        <w:rPr/>
      </w:pPr>
      <w:r>
        <w:rPr/>
        <w:t>Fixing the Games-edition leakage changed our results a lot. After grouping the folds correctly, every version of the model that kept real predictors scored below chance, as low as 0.411. That's why the tuning process picked the version that zeroed out every predictor (AUC = 0.500) as the best option, it wasn't a good result, just the least bad one. We're treating this as a real finding about our current predictors, not a bug or a failed run.</w:t>
      </w:r>
    </w:p>
    <w:p>
      <w:pPr>
        <w:pStyle w:val="BodyText"/>
        <w:rPr/>
      </w:pPr>
      <w:r>
        <w:rPr/>
        <w:t>The random forest shows the same pattern, and we can measure the gap directly because we scored the same forest both ways. Holding the rows, the predictors and mtry fixed so that only the fold construction changes, grouping costs it 0.22 to 0.23 of AUC. Most of what the forest looked like it could do came from being scored on GDP and city population values it had already seen in training.</w:t>
      </w:r>
    </w:p>
    <w:p>
      <w:pPr>
        <w:pStyle w:val="BodyText"/>
        <w:rPr/>
      </w:pPr>
      <w:r>
        <w:rPr/>
        <w:t>Once the leakage was fixed, none of the three models we tuned this sprint beat the Sprint 5 baseline on raw AUC. We think that means the original baseline numbers were probably inflated by the leakage Katie flagged, not that our tuning didn't work.</w:t>
      </w:r>
    </w:p>
    <w:p>
      <w:pPr>
        <w:pStyle w:val="BodyText"/>
        <w:rPr/>
      </w:pPr>
      <w:r>
        <w:rPr/>
        <w:t>Here's what this means for our research question. Once we control for Games-edition leakage, none of the predictors we can currently test, capacity, GDP percentile rank, city population percentile rank, new-build status, and region, show a useful link to whether a venue becomes a white elephant. In fact, keeping any of them in the elastic net actually made predictions worse than chance. That doesn't mean there's no relationship at all. Design purpose, the predictor our hypothesis leans on most, still isn't measured on the Olympic side, and we only have 17 training failures to work with, which limits what any model can pick up on. We're reading this the same way we read the Sprint 5 baseline: it tells us something about our current data and predictors, not a verdict on our hypothesis.</w:t>
      </w:r>
    </w:p>
    <w:p>
      <w:pPr>
        <w:pStyle w:val="Heading1"/>
        <w:rPr/>
      </w:pPr>
      <w:bookmarkStart w:id="6" w:name="discussion-and-next-steps"/>
      <w:r>
        <w:rPr/>
        <w:t>Discussion and Next Steps</w:t>
      </w:r>
    </w:p>
    <w:p>
      <w:pPr>
        <w:pStyle w:val="Heading2"/>
        <w:rPr/>
      </w:pPr>
      <w:bookmarkStart w:id="7" w:name="what-changed-in-our-plan"/>
      <w:r>
        <w:rPr/>
        <w:t>What changed in our plan</w:t>
      </w:r>
    </w:p>
    <w:p>
      <w:pPr>
        <w:pStyle w:val="FirstParagraph"/>
        <w:rPr/>
      </w:pPr>
      <w:r>
        <w:rPr/>
        <w:t>Our baseline report expected the forest to land near chance, and it did, but not for the reason we gave. We wrote going into this sprint that moving up to more flexible models would teach us something about the shape of the relationship and probably wouldn’t raise our numbers on its own. It hasn’t raised them. What we hadn’t anticipated is that some of the baseline performance we were measuring against wasn’t real either. So the next thing to change is the predictors, not the model.</w:t>
      </w:r>
      <w:bookmarkEnd w:id="7"/>
    </w:p>
    <w:p>
      <w:pPr>
        <w:pStyle w:val="Heading2"/>
        <w:rPr/>
      </w:pPr>
      <w:bookmarkStart w:id="8" w:name="X9020f6e42f6d2b9a2975512df3033c715d8fe76"/>
      <w:r>
        <w:rPr/>
        <w:t>The predictor set was settled before we fixed the folds</w:t>
      </w:r>
    </w:p>
    <w:p>
      <w:pPr>
        <w:pStyle w:val="FirstParagraph"/>
        <w:rPr/>
      </w:pPr>
      <w:r>
        <w:rPr/>
        <w:t>The set was settled by a check that compared dropping capacity for region against keeping both, and it kept both. That check ran before we regrouped the folds, on the design we’ve since replaced. So we re-ran the forest on four predictors and on five, holding the rows, the folds and mtry fixed so the only difference is whether region is in the model. This comparison holds mtry at 2 and 4 rather than the 3 and 7 in Results, since four predictors give four columns.</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Predictors</w:t>
            </w:r>
          </w:p>
        </w:tc>
        <w:tc>
          <w:tcPr>
            <w:tcW w:w="2640" w:type="dxa"/>
            <w:tcBorders>
              <w:bottom w:val="single" w:sz="6" w:space="0" w:color="000000"/>
            </w:tcBorders>
            <w:vAlign w:val="bottom"/>
          </w:tcPr>
          <w:p>
            <w:pPr>
              <w:pStyle w:val="Compact"/>
              <w:widowControl/>
              <w:spacing w:lineRule="auto" w:line="480" w:before="36" w:after="36"/>
              <w:jc w:val="righ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mtry = 2</w:t>
            </w:r>
          </w:p>
        </w:tc>
        <w:tc>
          <w:tcPr>
            <w:tcW w:w="2640" w:type="dxa"/>
            <w:tcBorders>
              <w:bottom w:val="single" w:sz="6" w:space="0" w:color="000000"/>
            </w:tcBorders>
            <w:vAlign w:val="bottom"/>
          </w:tcPr>
          <w:p>
            <w:pPr>
              <w:pStyle w:val="Compact"/>
              <w:widowControl/>
              <w:spacing w:lineRule="auto" w:line="480" w:before="36" w:after="36"/>
              <w:jc w:val="righ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mtry = 4</w:t>
            </w:r>
          </w:p>
        </w:tc>
      </w:tr>
      <w:tr>
        <w:trPr/>
        <w:tc>
          <w:tcPr>
            <w:tcW w:w="2640"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Four, without region</w:t>
            </w:r>
          </w:p>
        </w:tc>
        <w:tc>
          <w:tcPr>
            <w:tcW w:w="2640" w:type="dxa"/>
            <w:tcBorders/>
          </w:tcPr>
          <w:p>
            <w:pPr>
              <w:pStyle w:val="Compact"/>
              <w:widowControl/>
              <w:spacing w:lineRule="auto" w:line="480" w:before="36" w:after="36"/>
              <w:jc w:val="righ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0.478</w:t>
            </w:r>
          </w:p>
        </w:tc>
        <w:tc>
          <w:tcPr>
            <w:tcW w:w="2640" w:type="dxa"/>
            <w:tcBorders/>
          </w:tcPr>
          <w:p>
            <w:pPr>
              <w:pStyle w:val="Compact"/>
              <w:widowControl/>
              <w:spacing w:lineRule="auto" w:line="480" w:before="36" w:after="36"/>
              <w:jc w:val="righ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0.467</w:t>
            </w:r>
          </w:p>
        </w:tc>
      </w:tr>
      <w:tr>
        <w:trPr/>
        <w:tc>
          <w:tcPr>
            <w:tcW w:w="2640" w:type="dxa"/>
            <w:tcBorders/>
          </w:tcPr>
          <w:p>
            <w:pPr>
              <w:pStyle w:val="Compact"/>
              <w:widowControl/>
              <w:spacing w:lineRule="auto" w:line="480" w:before="36" w:after="36"/>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Five, with region</w:t>
            </w:r>
          </w:p>
        </w:tc>
        <w:tc>
          <w:tcPr>
            <w:tcW w:w="2640" w:type="dxa"/>
            <w:tcBorders/>
          </w:tcPr>
          <w:p>
            <w:pPr>
              <w:pStyle w:val="Compact"/>
              <w:widowControl/>
              <w:spacing w:lineRule="auto" w:line="480" w:before="36" w:after="36"/>
              <w:jc w:val="righ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0.428</w:t>
            </w:r>
          </w:p>
        </w:tc>
        <w:tc>
          <w:tcPr>
            <w:tcW w:w="2640" w:type="dxa"/>
            <w:tcBorders/>
          </w:tcPr>
          <w:p>
            <w:pPr>
              <w:pStyle w:val="Compact"/>
              <w:widowControl/>
              <w:spacing w:lineRule="auto" w:line="480" w:before="36" w:after="36"/>
              <w:jc w:val="right"/>
              <w:rPr>
                <w:rFonts w:ascii="Times New Roman" w:hAnsi="Times New Roman" w:eastAsia="Times New Roman" w:cs="Times New Roman"/>
                <w:kern w:val="0"/>
                <w:sz w:val="24"/>
                <w:szCs w:val="24"/>
                <w:lang w:val="en-US" w:eastAsia="en-US" w:bidi="ar-SA"/>
              </w:rPr>
            </w:pPr>
            <w:r>
              <w:rPr>
                <w:rFonts w:eastAsia="Times New Roman" w:cs="Times New Roman"/>
                <w:kern w:val="0"/>
                <w:sz w:val="24"/>
                <w:szCs w:val="24"/>
                <w:lang w:val="en-US" w:eastAsia="en-US" w:bidi="ar-SA"/>
              </w:rPr>
              <w:t>0.401</w:t>
            </w:r>
          </w:p>
        </w:tc>
      </w:tr>
    </w:tbl>
    <w:p>
      <w:pPr>
        <w:pStyle w:val="BodyText"/>
        <w:rPr/>
      </w:pPr>
      <w:r>
        <w:rPr/>
        <w:t>Region costs the forest 0.05 to 0.07 of AUC rather than adding anything. That’s smaller than the fold-to-fold spread of roughly 0.12, so we can’t call the effect real on this evidence, only say that nothing in the grouped scoring supports having added it. We’re keeping it for this submission, because having all three models on one predictor set is worth more than a fifth predictor whose effect we can’t separate from noise either way.</w:t>
      </w:r>
      <w:bookmarkEnd w:id="8"/>
    </w:p>
    <w:p>
      <w:pPr>
        <w:pStyle w:val="Heading2"/>
        <w:rPr/>
      </w:pPr>
      <w:bookmarkStart w:id="9" w:name="X479c965de47e9561c16260e26fce3c9cade1306"/>
      <w:r>
        <w:rPr/>
        <w:t>The train/test split has the same structure</w:t>
      </w:r>
    </w:p>
    <w:p>
      <w:pPr>
        <w:pStyle w:val="FirstParagraph"/>
        <w:rPr/>
      </w:pPr>
      <w:r>
        <w:rPr/>
        <w:t>Our split groups by venue, so the same venue never lands on both sides, but it doesn’t group by Games edition. Venues from the same Olympics therefore end up in both the training and test sets, which puts identical GDP and city population values on both sides for the same reason the folds did. Athens 2004 is the clearest case: its 9 failures split 4 into training and 5 into test.</w:t>
      </w:r>
    </w:p>
    <w:p>
      <w:pPr>
        <w:pStyle w:val="BodyText"/>
        <w:rPr/>
      </w:pPr>
      <w:r>
        <w:rPr/>
        <w:t>This hasn’t affected anything we’ve reported, because none of our scripts evaluate on the test set. Every number here and in the last report comes from cross-validation inside the training rows. We’re not rebuilding the split before this deadline, since regrouping it changes which rows are in training and would move every number in this report, to correct something that isn’t currently wrong. The fix is the one we applied to the folds, group on Games edition rather than venue, and it goes in before we score anything on the test set.</w:t>
      </w:r>
      <w:bookmarkEnd w:id="9"/>
    </w:p>
    <w:p>
      <w:pPr>
        <w:pStyle w:val="Heading2"/>
        <w:rPr/>
      </w:pPr>
      <w:bookmarkStart w:id="10" w:name="design-purpose"/>
      <w:r>
        <w:rPr/>
        <w:t>Design purpose</w:t>
      </w:r>
    </w:p>
    <w:p>
      <w:pPr>
        <w:pStyle w:val="FirstParagraph"/>
        <w:rPr/>
      </w:pPr>
      <w:r>
        <w:rPr/>
        <w:t>Our hypothesis names design purpose as one of two centerpiece predictors, and we can build it for the World Cup arm but not the Olympic arm, which leaves it untestable on the arm we’re scoring. We now have a route that needs no new data source: our Olympic table already carries a use_at_games column from the IOC reports, populated for all 875 rows, listing the sports each venue hosted, and counting them separates single-purpose from multi-purpose venues. Two caveats. The column isn’t built yet, and it records what a venue was used for during the Games rather than what it was designed for beforehand, so it measures something close to the World Cup column rather than the same thing.</w:t>
      </w:r>
      <w:bookmarkEnd w:id="10"/>
    </w:p>
    <w:p>
      <w:pPr>
        <w:pStyle w:val="Heading2"/>
        <w:rPr/>
      </w:pPr>
      <w:bookmarkStart w:id="11" w:name="next-steps"/>
      <w:r>
        <w:rPr/>
        <w:t>Next steps</w:t>
      </w:r>
    </w:p>
    <w:p>
      <w:pPr>
        <w:pStyle w:val="Compact"/>
        <w:numPr>
          <w:ilvl w:val="0"/>
          <w:numId w:val="1"/>
        </w:numPr>
        <w:rPr/>
      </w:pPr>
      <w:r>
        <w:rPr/>
        <w:t>No new model families. Three kinds of model now agree the current predictor set carries nothing, so the next change is to the predictors rather than the model. Region is first to re-examine, since it was added under the folds we’ve replaced.</w:t>
      </w:r>
    </w:p>
    <w:p>
      <w:pPr>
        <w:pStyle w:val="Compact"/>
        <w:numPr>
          <w:ilvl w:val="0"/>
          <w:numId w:val="1"/>
        </w:numPr>
        <w:rPr/>
      </w:pPr>
      <w:r>
        <w:rPr/>
        <w:t>Group the train/test split on Games edition before we score anything on the test set.</w:t>
      </w:r>
    </w:p>
    <w:p>
      <w:pPr>
        <w:pStyle w:val="Compact"/>
        <w:numPr>
          <w:ilvl w:val="0"/>
          <w:numId w:val="1"/>
        </w:numPr>
        <w:rPr/>
      </w:pPr>
      <w:r>
        <w:rPr/>
        <w:t>Build design purpose from use_at_games and test whether it earns a place in the predictor set.</w:t>
      </w:r>
    </w:p>
    <w:p>
      <w:pPr>
        <w:pStyle w:val="Compact"/>
        <w:numPr>
          <w:ilvl w:val="0"/>
          <w:numId w:val="1"/>
        </w:numPr>
        <w:rPr/>
      </w:pPr>
      <w:r>
        <w:rPr/>
        <w:t>Report thresholds as a range of cutoffs rather than a single one.</w:t>
      </w:r>
      <w:bookmarkEnd w:id="6"/>
      <w:bookmarkEnd w:id="11"/>
    </w:p>
    <w:p>
      <w:pPr>
        <w:pStyle w:val="Heading1"/>
        <w:rPr/>
      </w:pPr>
      <w:bookmarkStart w:id="12" w:name="appendix"/>
      <w:r>
        <w:rPr/>
        <w:t>Appendix</w:t>
      </w:r>
    </w:p>
    <w:p>
      <w:pPr>
        <w:pStyle w:val="BodyText"/>
      </w:pPr>
      <w:r>
        <w:t>Data Dictionary / Codebook: maintained in the team repository and current as of this submission:</w:t>
      </w:r>
    </w:p>
    <w:p>
      <w:pPr>
        <w:pStyle w:val="BodyText"/>
      </w:pPr>
      <w:r>
        <w:t>https://github.com/Smoothspinner/sports-urbanism-capstone/blob/main/reports/cleaning_preprocessing/data_dictionary.md</w:t>
      </w:r>
    </w:p>
    <w:p>
      <w:pPr>
        <w:pStyle w:val="BodyText"/>
      </w:pPr>
      <w:r>
        <w:t>It documents every column in both modeling tables: identifiers and source fields, country and city context, engineered features, rank and standardized versions, the split and missing-value columns, and the columns added by the unsupervised step.</w:t>
      </w:r>
    </w:p>
    <w:tbl>
      <w:tblPr>
        <w:tblW w:type="auto" w:w="0"/>
        <w:tblLook w:firstColumn="1" w:firstRow="1" w:lastColumn="0" w:lastRow="0" w:noHBand="0" w:noVBand="1" w:val="04A0"/>
      </w:tblPr>
      <w:tblGrid>
        <w:gridCol w:w="3120"/>
        <w:gridCol w:w="3120"/>
        <w:gridCol w:w="3120"/>
      </w:tblGrid>
      <w:tr>
        <w:tc>
          <w:tcPr>
            <w:tcW w:type="dxa" w:w="3120"/>
          </w:tcPr>
          <w:p>
            <w:r>
              <w:rPr>
                <w:b/>
              </w:rPr>
              <w:t>File</w:t>
            </w:r>
          </w:p>
        </w:tc>
        <w:tc>
          <w:tcPr>
            <w:tcW w:type="dxa" w:w="3120"/>
          </w:tcPr>
          <w:p>
            <w:r>
              <w:rPr>
                <w:b/>
              </w:rPr>
              <w:t>Rows</w:t>
            </w:r>
          </w:p>
        </w:tc>
        <w:tc>
          <w:tcPr>
            <w:tcW w:type="dxa" w:w="3120"/>
          </w:tcPr>
          <w:p>
            <w:r>
              <w:rPr>
                <w:b/>
              </w:rPr>
              <w:t>Columns</w:t>
            </w:r>
          </w:p>
        </w:tc>
      </w:tr>
      <w:tr>
        <w:tc>
          <w:tcPr>
            <w:tcW w:type="dxa" w:w="3120"/>
          </w:tcPr>
          <w:p>
            <w:r>
              <w:t>data/processed/olympic_model_split.csv</w:t>
            </w:r>
          </w:p>
        </w:tc>
        <w:tc>
          <w:tcPr>
            <w:tcW w:type="dxa" w:w="3120"/>
          </w:tcPr>
          <w:p>
            <w:r>
              <w:t>875</w:t>
            </w:r>
          </w:p>
        </w:tc>
        <w:tc>
          <w:tcPr>
            <w:tcW w:type="dxa" w:w="3120"/>
          </w:tcPr>
          <w:p>
            <w:r>
              <w:t>78</w:t>
            </w:r>
          </w:p>
        </w:tc>
      </w:tr>
      <w:tr>
        <w:tc>
          <w:tcPr>
            <w:tcW w:type="dxa" w:w="3120"/>
          </w:tcPr>
          <w:p>
            <w:r>
              <w:t>data/processed/worldcup_model_split.csv</w:t>
            </w:r>
          </w:p>
        </w:tc>
        <w:tc>
          <w:tcPr>
            <w:tcW w:type="dxa" w:w="3120"/>
          </w:tcPr>
          <w:p>
            <w:r>
              <w:t>265</w:t>
            </w:r>
          </w:p>
        </w:tc>
        <w:tc>
          <w:tcPr>
            <w:tcW w:type="dxa" w:w="3120"/>
          </w:tcPr>
          <w:p>
            <w:r>
              <w:t>73</w:t>
            </w:r>
          </w:p>
        </w:tc>
      </w:tr>
    </w:tbl>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480"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Times New Roman" w:hAnsi="Times New Roman" w:eastAsia="Times New Roman" w:cs="Times New Roman"/>
      <w:color w:val="000000"/>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Times New Roman" w:hAnsi="Times New Roman" w:eastAsia="Times New Roman" w:cs="Times New Roman"/>
      <w:color w:val="000000"/>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val="000000"/>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val="000000"/>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val="000000"/>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Times New Roman" w:hAnsi="Times New Roman" w:eastAsia="Times New Roman" w:cs="Times New Roman"/>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Times New Roman" w:hAnsi="Times New Roman" w:eastAsia="Times New Roman" w:cs="Times New Roman"/>
      <w:color w:val="000000"/>
      <w:sz w:val="40"/>
      <w:szCs w:val="40"/>
    </w:rPr>
  </w:style>
  <w:style w:type="character" w:styleId="Heading2Char" w:customStyle="1">
    <w:name w:val="Heading 2 Char"/>
    <w:basedOn w:val="DefaultParagraphFont"/>
    <w:link w:val="Heading2"/>
    <w:uiPriority w:val="9"/>
    <w:semiHidden/>
    <w:qFormat/>
    <w:rsid w:val="00a10fd9"/>
    <w:rPr>
      <w:rFonts w:ascii="Times New Roman" w:hAnsi="Times New Roman" w:eastAsia="Times New Roman" w:cs="Times New Roman"/>
      <w:color w:val="000000"/>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00000"/>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00000"/>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00000"/>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Times New Roman" w:hAnsi="Times New Roman" w:eastAsia="Times New Roman" w:cs="Times New Roman"/>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Times New Roman" w:hAnsi="Times New Roman" w:eastAsia="Times New Roman" w:cs="Times New Roman"/>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moothspinner/sports-urbanism-capston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pitchFamily="0" charset="1"/>
        <a:ea typeface=""/>
        <a:cs typeface=""/>
      </a:majorFont>
      <a:minorFont>
        <a:latin typeface="Times New Roman"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LibreOffice/26.2.4.2$Linux_X86_64 LibreOffice_project/620$Build-2</Application>
  <AppVersion>15.0000</AppVersion>
  <Pages>24</Pages>
  <Words>4788</Words>
  <Characters>24511</Characters>
  <CharactersWithSpaces>28978</CharactersWithSpaces>
  <Paragraphs>321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2026-08-21T13:32:32Z</dcterms:created>
  <dc:creator/>
  <dc:description/>
  <dc:language>en-US</dc:language>
  <cp:lastModifiedBy/>
  <dcterms:modified xsi:type="dcterms:W3CDTF">2026-08-21T09:48:41Z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