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800" w:bottom="720" w:left="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Enterprise Proposal · 2026</w:t>
      </w:r>
    </w:p>
    <w:p>
      <w:pPr>
        <w:pStyle w:val="Heading1"/>
        <w:spacing w:lineRule="auto"/>
      </w:pPr>
      <w:r>
        <w:rPr/>
        <w:t xml:space="preserve">Discover everything.</w:t>
      </w:r>
      <w:r>
        <w:rPr/>
        <w:br w:type="textWrapping"/>
      </w:r>
      <w:r>
        <w:rPr/>
        <w:t xml:space="preserve">Command</w:t>
      </w:r>
      <w:r>
        <w:rPr/>
        <w:t xml:space="preserve"> anything.</w:t>
      </w:r>
    </w:p>
    <w:p>
      <w:pPr>
        <w:spacing w:lineRule="auto"/>
      </w:pPr>
      <w:r>
        <w:rPr/>
        <w:t xml:space="preserve">         Technical &amp; commercial proposal for </w:t>
      </w:r>
      <w:r>
        <w:rPr>
          <w:b/>
        </w:rPr>
        <w:t xml:space="preserve">QS Assets</w:t>
      </w:r>
      <w:r>
        <w:rPr/>
        <w:t xml:space="preserve"> —         unified IT &amp; non-IT asset discovery, monitoring, ITSM, and security workflows.         Deploy as managed SaaS or on your infrastructure.       </w:t>
      </w:r>
    </w:p>
    <w:p>
      <w:pPr>
        <w:spacing w:lineRule="auto"/>
      </w:pPr>
      <w:r>
        <w:rPr/>
        <w:t xml:space="preserve">Prepared by</w:t>
      </w:r>
    </w:p>
    <w:p>
      <w:pPr>
        <w:spacing w:lineRule="auto"/>
      </w:pPr>
      <w:r>
        <w:rPr>
          <w:b/>
        </w:rPr>
        <w:t xml:space="preserve">NeurQ AI Labs Pvt Ltd</w:t>
      </w:r>
    </w:p>
    <w:p>
      <w:pPr>
        <w:spacing w:lineRule="auto"/>
      </w:pPr>
      <w:r>
        <w:rPr/>
        <w:t xml:space="preserve">Reference</w:t>
      </w:r>
    </w:p>
    <w:p>
      <w:pPr>
        <w:spacing w:lineRule="auto"/>
      </w:pPr>
      <w:r>
        <w:rPr>
          <w:b/>
        </w:rPr>
        <w:t xml:space="preserve">QS-ENT-PROPOSAL-2026-07</w:t>
      </w:r>
    </w:p>
    <w:p>
      <w:pPr>
        <w:spacing w:lineRule="auto"/>
      </w:pPr>
      <w:r>
        <w:rPr/>
        <w:t xml:space="preserve">Valid through</w:t>
      </w:r>
    </w:p>
    <w:p>
      <w:pPr>
        <w:spacing w:lineRule="auto"/>
      </w:pPr>
      <w:r>
        <w:rPr>
          <w:b/>
        </w:rPr>
        <w:t xml:space="preserve">31 Aug 2026</w:t>
      </w:r>
    </w:p>
    <w:p>
      <w:pPr>
        <w:spacing w:lineRule="auto"/>
      </w:pPr>
      <w:r>
        <w:rPr/>
        <w:t xml:space="preserve">Contact</w:t>
      </w:r>
    </w:p>
    <w:p>
      <w:pPr>
        <w:spacing w:lineRule="auto"/>
      </w:pPr>
      <w:r>
        <w:rPr>
          <w:b/>
        </w:rPr>
        <w:t xml:space="preserve">+91 7752981110 · smrita@neurqai.com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NeurQ AI Labs Private Limited</w:t>
      </w:r>
    </w:p>
    <w:p>
      <w:pPr>
        <w:spacing w:lineRule="auto"/>
      </w:pPr>
      <w:r>
        <w:rPr>
          <w:b/>
        </w:rPr>
        <w:t xml:space="preserve">QS Assets</w:t>
      </w:r>
    </w:p>
    <w:p>
      <w:pPr>
        <w:spacing w:lineRule="auto"/>
      </w:pPr>
      <w:r>
        <w:rPr/>
        <w:t xml:space="preserve"> — Enterprise IT &amp; Non-IT Asset Management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Registered Address:</w:t>
      </w:r>
    </w:p>
    <w:p>
      <w:pPr>
        <w:spacing w:lineRule="auto"/>
      </w:pPr>
      <w:r>
        <w:rPr/>
        <w:t xml:space="preserve"> C-403 Royal Estate Apartment, 7 Laplace Hazratganj, Lucknow – 226001, Uttar Pradesh, India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Contact:</w:t>
      </w:r>
    </w:p>
    <w:p>
      <w:pPr>
        <w:spacing w:lineRule="auto"/>
      </w:pPr>
      <w:r>
        <w:rPr/>
        <w:t xml:space="preserve"> +91 7752981110 | smrita@neurqai.com | contact@qsasset.com | www.qsasset.com | www.neurqai.com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GSTIN:</w:t>
      </w:r>
    </w:p>
    <w:p>
      <w:pPr>
        <w:spacing w:lineRule="auto"/>
      </w:pPr>
      <w:r>
        <w:rPr/>
        <w:t xml:space="preserve"> 09AAKCN7956K1ZL             </w:t>
      </w:r>
    </w:p>
    <w:p>
      <w:pPr>
        <w:spacing w:lineRule="auto"/>
      </w:pPr>
      <w:r>
        <w:rPr/>
        <w:t xml:space="preserve">               CIN: U58200UP2025PTC231555 · PAN: AAKCN7956K · TAN: LKNN10569G · UDYAM: UDYAM-UP-50-0231464 · DIPP: DIPP226572 · StartinUP: R/STARTUP/UP/LKO/2025/000040941             </w:t>
      </w:r>
    </w:p>
    <w:p>
      <w:pPr>
        <w:spacing w:lineRule="auto"/>
      </w:pPr>
      <w:r>
        <w:rPr/>
        <w:t xml:space="preserve">Commercial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Proposal</w:t>
      </w:r>
    </w:p>
    <w:p>
      <w:pPr>
        <w:spacing w:lineRule="auto"/>
      </w:pPr>
      <w:r>
        <w:rPr>
          <w:b/>
        </w:rPr>
        <w:t xml:space="preserve">Unique requirement-based pricing.</w:t>
      </w:r>
      <w:r>
        <w:rPr/>
        <w:t xml:space="preserve">         Enterprise and banking deployments are not sold as a flat SaaS list alone. Scope is sized from branches,         IT &amp; non-IT assets per site, deployment model (on-premise / hosted by customer / managed SaaS),         customization, training, AMC, and optional managed services. The quotation below is an         </w:t>
      </w:r>
      <w:r>
        <w:rPr>
          <w:b/>
        </w:rPr>
        <w:t xml:space="preserve">illustrative covering letter for Bank A</w:t>
      </w:r>
      <w:r>
        <w:rPr/>
        <w:t xml:space="preserve"> — final commercials are shared after inventory confirmation.       </w:t>
      </w:r>
    </w:p>
    <w:p>
      <w:pPr>
        <w:pStyle w:val="Heading3"/>
        <w:spacing w:lineRule="auto"/>
      </w:pPr>
      <w:r>
        <w:rPr/>
        <w:t xml:space="preserve">Customer Information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320"/>
        <w:gridCol w:w="5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 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Madhya Pradesh (M.P.)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Mr. [To be filled]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[To be filled]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[To be filled]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Quote Information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320"/>
        <w:gridCol w:w="5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QS-ENT-Q-2026-0914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July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Smrita Pandey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+91 7752981110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smrita@neurqai.com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Subject:</w:t>
      </w:r>
      <w:r>
        <w:rPr/>
        <w:t xml:space="preserve"> Commercial Proposal for QS Assets — On-Premise Implementation for Bank A         (20 Branches · IT &amp; Non-IT Asset Management)       </w:t>
      </w:r>
    </w:p>
    <w:p>
      <w:pPr>
        <w:spacing w:lineRule="auto"/>
      </w:pPr>
      <w:r>
        <w:rPr/>
        <w:t xml:space="preserve">Branches</w:t>
      </w:r>
    </w:p>
    <w:p>
      <w:pPr>
        <w:spacing w:lineRule="auto"/>
      </w:pPr>
      <w:r>
        <w:rPr>
          <w:b/>
        </w:rPr>
        <w:t xml:space="preserve">20</w:t>
      </w:r>
    </w:p>
    <w:p>
      <w:pPr>
        <w:spacing w:lineRule="auto"/>
      </w:pPr>
      <w:r>
        <w:rPr/>
        <w:t xml:space="preserve">Bank A estate</w:t>
      </w:r>
    </w:p>
    <w:p>
      <w:pPr>
        <w:spacing w:lineRule="auto"/>
      </w:pPr>
      <w:r>
        <w:rPr/>
        <w:t xml:space="preserve">IT assets / branch</w:t>
      </w:r>
    </w:p>
    <w:p>
      <w:pPr>
        <w:spacing w:lineRule="auto"/>
      </w:pPr>
      <w:r>
        <w:rPr>
          <w:b/>
        </w:rPr>
        <w:t xml:space="preserve">100</w:t>
      </w:r>
    </w:p>
    <w:p>
      <w:pPr>
        <w:spacing w:lineRule="auto"/>
      </w:pPr>
      <w:r>
        <w:rPr/>
        <w:t xml:space="preserve">2,000 IT assets total</w:t>
      </w:r>
    </w:p>
    <w:p>
      <w:pPr>
        <w:spacing w:lineRule="auto"/>
      </w:pPr>
      <w:r>
        <w:rPr/>
        <w:t xml:space="preserve">Non-IT assets / branch</w:t>
      </w:r>
    </w:p>
    <w:p>
      <w:pPr>
        <w:spacing w:lineRule="auto"/>
      </w:pPr>
      <w:r>
        <w:rPr>
          <w:b/>
        </w:rPr>
        <w:t xml:space="preserve">50</w:t>
      </w:r>
    </w:p>
    <w:p>
      <w:pPr>
        <w:spacing w:lineRule="auto"/>
      </w:pPr>
      <w:r>
        <w:rPr/>
        <w:t xml:space="preserve">1,000 non-IT assets total</w:t>
      </w:r>
    </w:p>
    <w:p>
      <w:pPr>
        <w:spacing w:lineRule="auto"/>
      </w:pPr>
      <w:r>
        <w:rPr/>
        <w:t xml:space="preserve">Total assets</w:t>
      </w:r>
    </w:p>
    <w:p>
      <w:pPr>
        <w:spacing w:lineRule="auto"/>
      </w:pPr>
      <w:r>
        <w:rPr>
          <w:b/>
        </w:rPr>
        <w:t xml:space="preserve">3,000</w:t>
      </w:r>
    </w:p>
    <w:p>
      <w:pPr>
        <w:spacing w:lineRule="auto"/>
      </w:pPr>
      <w:r>
        <w:rPr/>
        <w:t xml:space="preserve">Licensed Year-1 inventory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28"/>
        <w:gridCol w:w="2128"/>
        <w:gridCol w:w="2128"/>
        <w:gridCol w:w="2128"/>
        <w:gridCol w:w="21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Sr.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Price (₹)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Amount (₹)</w:t>
            </w:r>
          </w:p>
        </w:tc>
      </w:tr>
      <w:tblGrid>
        <w:gridCol w:w="2128"/>
        <w:gridCol w:w="2128"/>
        <w:gridCol w:w="2128"/>
        <w:gridCol w:w="2128"/>
        <w:gridCol w:w="21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QS Assets — IT Asset License (On-Premise / Hosted by Customer)</w:t>
            </w:r>
          </w:p>
          <w:p>
            <w:pPr>
              <w:spacing w:lineRule="auto"/>
            </w:pPr>
            <w:r>
              <w:rPr/>
              <w:t xml:space="preserve">1-year · 20 branches × 100 IT assets · discovery, CMDB, monitoring, ITSM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30,00,000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QS Assets — Non-IT Asset License (On-Premise / Hosted by Customer)</w:t>
            </w:r>
          </w:p>
          <w:p>
            <w:pPr>
              <w:spacing w:lineRule="auto"/>
            </w:pPr>
            <w:r>
              <w:rPr/>
              <w:t xml:space="preserve">1-year · 20 branches × 50 non-IT assets · facilities / equipment / CCTV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One-time On-Premise Implementation, Customization &amp; Training</w:t>
            </w:r>
          </w:p>
          <w:p>
            <w:pPr>
              <w:spacing w:lineRule="auto"/>
            </w:pPr>
            <w:r>
              <w:rPr/>
              <w:t xml:space="preserve">Stand-up, branch rollout, configuration, admin/end-user training, Year-1 hypercare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8,00,000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000000"/>
          <w:sz w:val="17"/>
        </w:rPr>
        <w:t xml:space="preserve">         Amount in words: Indian Rupees Fifty-Nine Lakh Only (incl. GST). Illustrative — final unit pricing after estate / BOM confirmation.       </w:t>
      </w:r>
    </w:p>
    <w:p>
      <w:pPr>
        <w:pStyle w:val="Heading3"/>
        <w:spacing w:lineRule="auto"/>
      </w:pPr>
      <w:r>
        <w:rPr/>
        <w:t xml:space="preserve">Post Year-1 &amp; optional managed services (charged separately)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546.6666666666665"/>
        <w:gridCol w:w="3546.6666666666665"/>
        <w:gridCol w:w="35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Indicative annual (excl. GST)</w:t>
            </w:r>
          </w:p>
        </w:tc>
      </w:tr>
      <w:tblGrid>
        <w:gridCol w:w="3546.6666666666665"/>
        <w:gridCol w:w="3546.6666666666665"/>
        <w:gridCol w:w="35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AMC / Annual Maintenance (from Year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18% of Year-1 license value (₹42,00,000)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₹7,56,000 / year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Managed Services (optional)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NeurQ-operated monitoring, patch ops, desk assist — if required by Bank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Quoted separately on SOW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Terms and Conditions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Taxes:</w:t>
      </w:r>
      <w:r>
        <w:rPr/>
        <w:t xml:space="preserve"> 18% GST extra on taxable items (included in Grand Total above).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Payment Terms:</w:t>
      </w:r>
      <w:r>
        <w:rPr/>
        <w:t xml:space="preserve"> 100% advance along with PO (or as per signed enterprise order form).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Estimated Delivery:</w:t>
      </w:r>
      <w:r>
        <w:rPr/>
        <w:t xml:space="preserve"> 2–3 weeks for environment readiness from order date; branch rollout per plan.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Validity:</w:t>
      </w:r>
      <w:r>
        <w:rPr/>
        <w:t xml:space="preserve"> Prices valid for 7 working days from the date of this Proposal.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Price:</w:t>
      </w:r>
      <w:r>
        <w:rPr/>
        <w:t xml:space="preserve"> Unique to confirmed branch / asset counts; may change with scope.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Cancellation:</w:t>
      </w:r>
      <w:r>
        <w:rPr/>
        <w:t xml:space="preserve"> Once order is placed, it cannot be cancelled.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Freight / travel:</w:t>
      </w:r>
      <w:r>
        <w:rPr/>
        <w:t xml:space="preserve"> Extra as per actual (if any) for on-site activities.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 &amp; Payment:</w:t>
      </w:r>
      <w:r>
        <w:rPr/>
        <w:t xml:space="preserve"> In the name of “NeurQ AI Labs Private Limited”.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AMC:</w:t>
      </w:r>
      <w:r>
        <w:rPr/>
        <w:t xml:space="preserve"> Starts after Year-1 annually. Managed services optional &amp; billed separately.</w:t>
      </w:r>
    </w:p>
    <w:p>
      <w:pPr>
        <w:spacing w:lineRule="auto"/>
      </w:pPr>
      <w:r>
        <w:rPr>
          <w:b/>
        </w:rPr>
        <w:t xml:space="preserve">For NeurQ AI Labs Private Limited</w:t>
      </w:r>
    </w:p>
    <w:p>
      <w:pPr>
        <w:spacing w:lineRule="auto"/>
      </w:pPr>
      <w:r>
        <w:rPr/>
        <w:t xml:space="preserve">           Smrita Pandey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Authorized Signatory · Account Manager         </w:t>
      </w:r>
    </w:p>
    <w:p>
      <w:pPr>
        <w:spacing w:lineRule="auto"/>
      </w:pPr>
      <w:r>
        <w:rPr>
          <w:b/>
        </w:rPr>
        <w:t xml:space="preserve">For Bank A (Accepted)</w:t>
      </w:r>
    </w:p>
    <w:p>
      <w:pPr>
        <w:spacing w:lineRule="auto"/>
      </w:pPr>
      <w:r>
        <w:rPr/>
        <w:t xml:space="preserve">           Authorized Signatory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Name / Designation         </w:t>
      </w:r>
    </w:p>
    <w:p>
      <w:pPr>
        <w:spacing w:lineRule="auto"/>
      </w:pPr>
      <w:hyperlink r:id="rId7">
        <w:r>
          <w:rPr>
            <w:rStyle w:val="Hyperlink"/>
          </w:rPr>
          <w:t xml:space="preserve">00</w:t>
        </w:r>
      </w:hyperlink>
    </w:p>
    <w:p>
      <w:pPr>
        <w:spacing w:lineRule="auto"/>
      </w:pPr>
      <w:hyperlink r:id="rId8">
        <w:r>
          <w:rPr>
            <w:rStyle w:val="Hyperlink"/>
          </w:rPr>
          <w:t xml:space="preserve">01</w:t>
        </w:r>
      </w:hyperlink>
    </w:p>
    <w:p>
      <w:pPr>
        <w:spacing w:lineRule="auto"/>
      </w:pPr>
      <w:hyperlink r:id="rId9">
        <w:r>
          <w:rPr>
            <w:rStyle w:val="Hyperlink"/>
          </w:rPr>
          <w:t xml:space="preserve">02</w:t>
        </w:r>
      </w:hyperlink>
    </w:p>
    <w:p>
      <w:pPr>
        <w:spacing w:lineRule="auto"/>
      </w:pPr>
      <w:hyperlink r:id="rId10">
        <w:r>
          <w:rPr>
            <w:rStyle w:val="Hyperlink"/>
          </w:rPr>
          <w:t xml:space="preserve">03</w:t>
        </w:r>
      </w:hyperlink>
    </w:p>
    <w:p>
      <w:pPr>
        <w:spacing w:lineRule="auto"/>
      </w:pPr>
      <w:hyperlink r:id="rId11">
        <w:r>
          <w:rPr>
            <w:rStyle w:val="Hyperlink"/>
          </w:rPr>
          <w:t xml:space="preserve">04</w:t>
        </w:r>
      </w:hyperlink>
    </w:p>
    <w:p>
      <w:pPr>
        <w:spacing w:lineRule="auto"/>
      </w:pPr>
      <w:hyperlink r:id="rId12">
        <w:r>
          <w:rPr>
            <w:rStyle w:val="Hyperlink"/>
          </w:rPr>
          <w:t xml:space="preserve">05</w:t>
        </w:r>
      </w:hyperlink>
    </w:p>
    <w:p>
      <w:pPr>
        <w:spacing w:lineRule="auto"/>
      </w:pPr>
      <w:hyperlink r:id="rId13">
        <w:r>
          <w:rPr>
            <w:rStyle w:val="Hyperlink"/>
          </w:rPr>
          <w:t xml:space="preserve">06</w:t>
        </w:r>
      </w:hyperlink>
    </w:p>
    <w:p>
      <w:pPr>
        <w:spacing w:lineRule="auto"/>
      </w:pPr>
      <w:hyperlink r:id="rId14">
        <w:r>
          <w:rPr>
            <w:rStyle w:val="Hyperlink"/>
          </w:rPr>
          <w:t xml:space="preserve">07</w:t>
        </w:r>
      </w:hyperlink>
    </w:p>
    <w:p>
      <w:pPr>
        <w:spacing w:lineRule="auto"/>
      </w:pPr>
      <w:hyperlink r:id="rId15">
        <w:r>
          <w:rPr>
            <w:rStyle w:val="Hyperlink"/>
          </w:rPr>
          <w:t xml:space="preserve">08</w:t>
        </w:r>
      </w:hyperlink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01</w:t>
      </w:r>
      <w:r>
        <w:rPr/>
        <w:t xml:space="preserve">Executive summary</w:t>
      </w:r>
    </w:p>
    <w:p>
      <w:pPr>
        <w:spacing w:lineRule="auto"/>
      </w:pPr>
      <w:r>
        <w:rPr/>
        <w:t xml:space="preserve">         Distributed estates — endpoints, network gear, facilities equipment, cameras, fleet, and cloud resources —         still live in spreadsheets and siloed tools. That creates blind inventory, slow incident triage, software audit risk,         and expired contracts that become emergency spend.       </w:t>
      </w:r>
    </w:p>
    <w:p>
      <w:pPr>
        <w:spacing w:lineRule="auto"/>
      </w:pPr>
      <w:r>
        <w:rPr>
          <w:b/>
        </w:rPr>
        <w:t xml:space="preserve">QS Assets</w:t>
      </w:r>
      <w:r>
        <w:rPr/>
        <w:t xml:space="preserve"> (product of </w:t>
      </w:r>
      <w:r>
        <w:rPr>
          <w:b/>
        </w:rPr>
        <w:t xml:space="preserve">NeurQ AI Labs Private Limited</w:t>
      </w:r>
      <w:r>
        <w:rPr/>
        <w:t xml:space="preserve">) is a production platform that unifies         agent + agentless discovery, a living asset / CMDB record, ITIL-style service desk, monitoring, vulnerability &amp; patch workflows,         and non-IT modules (CCTV, fleet, facility) in one control plane. Customers can run </w:t>
      </w:r>
      <w:r>
        <w:rPr>
          <w:b/>
        </w:rPr>
        <w:t xml:space="preserve">managed SaaS</w:t>
      </w:r>
      <w:r>
        <w:rPr/>
        <w:t xml:space="preserve"> at         </w:t>
      </w:r>
      <w:hyperlink r:id="rId16">
        <w:r>
          <w:rPr>
            <w:rStyle w:val="Hyperlink"/>
          </w:rPr>
          <w:t xml:space="preserve">www.qsasset.com</w:t>
        </w:r>
      </w:hyperlink>
      <w:r>
        <w:rPr/>
        <w:t xml:space="preserve">         or </w:t>
      </w:r>
      <w:r>
        <w:rPr>
          <w:b/>
        </w:rPr>
        <w:t xml:space="preserve">self-host</w:t>
      </w:r>
      <w:r>
        <w:rPr/>
        <w:t xml:space="preserve"> with Docker and PostgreSQL when residency requires it.       </w:t>
      </w:r>
    </w:p>
    <w:p>
      <w:pPr>
        <w:spacing w:lineRule="auto"/>
      </w:pPr>
      <w:r>
        <w:rPr/>
        <w:t xml:space="preserve">200+</w:t>
      </w:r>
    </w:p>
    <w:p>
      <w:pPr>
        <w:spacing w:lineRule="auto"/>
      </w:pPr>
      <w:r>
        <w:rPr/>
        <w:t xml:space="preserve">Teams</w:t>
      </w:r>
    </w:p>
    <w:p>
      <w:pPr>
        <w:spacing w:lineRule="auto"/>
      </w:pPr>
      <w:r>
        <w:rPr/>
        <w:t xml:space="preserve">Active customer teams on the platform</w:t>
      </w:r>
    </w:p>
    <w:p>
      <w:pPr>
        <w:spacing w:lineRule="auto"/>
      </w:pPr>
      <w:r>
        <w:rPr/>
        <w:t xml:space="preserve">50K+</w:t>
      </w:r>
    </w:p>
    <w:p>
      <w:pPr>
        <w:spacing w:lineRule="auto"/>
      </w:pPr>
      <w:r>
        <w:rPr/>
        <w:t xml:space="preserve">Assets</w:t>
      </w:r>
    </w:p>
    <w:p>
      <w:pPr>
        <w:spacing w:lineRule="auto"/>
      </w:pPr>
      <w:r>
        <w:rPr/>
        <w:t xml:space="preserve">Assets under management worldwide</w:t>
      </w:r>
    </w:p>
    <w:p>
      <w:pPr>
        <w:spacing w:lineRule="auto"/>
      </w:pPr>
      <w:r>
        <w:rPr/>
        <w:t xml:space="preserve">99.9%</w:t>
      </w:r>
    </w:p>
    <w:p>
      <w:pPr>
        <w:spacing w:lineRule="auto"/>
      </w:pPr>
      <w:r>
        <w:rPr/>
        <w:t xml:space="preserve">SLA target</w:t>
      </w:r>
    </w:p>
    <w:p>
      <w:pPr>
        <w:spacing w:lineRule="auto"/>
      </w:pPr>
      <w:r>
        <w:rPr/>
        <w:t xml:space="preserve">Pro &amp; Enterprise managed SaaS uptime</w:t>
      </w:r>
    </w:p>
    <w:p>
      <w:pPr>
        <w:spacing w:lineRule="auto"/>
      </w:pPr>
      <w:r>
        <w:rPr/>
        <w:t xml:space="preserve">SOC 2</w:t>
      </w:r>
    </w:p>
    <w:p>
      <w:pPr>
        <w:spacing w:lineRule="auto"/>
      </w:pPr>
      <w:r>
        <w:rPr/>
        <w:t xml:space="preserve">Controls</w:t>
      </w:r>
    </w:p>
    <w:p>
      <w:pPr>
        <w:spacing w:lineRule="auto"/>
      </w:pPr>
      <w:r>
        <w:rPr/>
        <w:t xml:space="preserve">DPDP Act 2023–oriented practices</w:t>
      </w:r>
    </w:p>
    <w:p>
      <w:pPr>
        <w:pStyle w:val="Heading4"/>
        <w:spacing w:lineRule="auto"/>
      </w:pPr>
      <w:r>
        <w:rPr/>
        <w:t xml:space="preserve">Typical enterprise pains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Blind spots:</w:t>
      </w:r>
      <w:r>
        <w:rPr/>
        <w:t xml:space="preserve"> Manual tracking leaves large shares of network assets unmonitored.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Technician friction:</w:t>
      </w:r>
      <w:r>
        <w:rPr/>
        <w:t xml:space="preserve"> Tickets lack hardware / patch context, extending MTTR.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License liability:</w:t>
      </w:r>
      <w:r>
        <w:rPr/>
        <w:t xml:space="preserve"> Weak SAM invites audit exposure and shelfware spend.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Contract oversights:</w:t>
      </w:r>
      <w:r>
        <w:rPr/>
        <w:t xml:space="preserve"> Expired AMC / warranty triggers emergency repair cost.</w:t>
      </w:r>
    </w:p>
    <w:p>
      <w:pPr>
        <w:pStyle w:val="Heading4"/>
        <w:spacing w:lineRule="auto"/>
      </w:pPr>
      <w:r>
        <w:rPr/>
        <w:t xml:space="preserve">QS Assets outcomes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 discovery:</w:t>
      </w:r>
      <w:r>
        <w:rPr/>
        <w:t xml:space="preserve"> Agent + SNMP / SSH / WMI / nmap sweeps keep inventory alive.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ITSM + CMDB:</w:t>
      </w:r>
      <w:r>
        <w:rPr/>
        <w:t xml:space="preserve"> Incidents open against the same asset record technicians need.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SAM &amp; renewals:</w:t>
      </w:r>
      <w:r>
        <w:rPr/>
        <w:t xml:space="preserve"> Installation counts and contract alarms before expiry.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Deploy your way:</w:t>
      </w:r>
      <w:r>
        <w:rPr/>
        <w:t xml:space="preserve"> SaaS today, on-prem / private VPC when policy demands.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02</w:t>
      </w:r>
      <w:r>
        <w:rPr/>
        <w:t xml:space="preserve">Platform capabilities</w:t>
      </w:r>
    </w:p>
    <w:p>
      <w:pPr>
        <w:spacing w:lineRule="auto"/>
      </w:pPr>
      <w:r>
        <w:rPr/>
        <w:t xml:space="preserve">From discovery to action</w:t>
      </w:r>
    </w:p>
    <w:p>
      <w:pPr>
        <w:spacing w:lineRule="auto"/>
      </w:pPr>
      <w:r>
        <w:rPr/>
        <w:t xml:space="preserve">01 · Discover</w:t>
      </w:r>
    </w:p>
    <w:p>
      <w:pPr>
        <w:pStyle w:val="Heading4"/>
        <w:spacing w:lineRule="auto"/>
      </w:pPr>
      <w:r>
        <w:rPr/>
        <w:t xml:space="preserve">Auto-discovery</w:t>
      </w:r>
    </w:p>
    <w:p>
      <w:pPr>
        <w:spacing w:lineRule="auto"/>
      </w:pPr>
      <w:r>
        <w:rPr/>
        <w:t xml:space="preserve">Find devices with agents or agentless SNMP, SSH, WMI, and nmap sweeps.</w:t>
      </w:r>
    </w:p>
    <w:p>
      <w:pPr>
        <w:spacing w:lineRule="auto"/>
      </w:pPr>
      <w:r>
        <w:rPr/>
        <w:t xml:space="preserve">02 · Observe</w:t>
      </w:r>
    </w:p>
    <w:p>
      <w:pPr>
        <w:pStyle w:val="Heading4"/>
        <w:spacing w:lineRule="auto"/>
      </w:pPr>
      <w:r>
        <w:rPr/>
        <w:t xml:space="preserve">Live monitoring</w:t>
      </w:r>
    </w:p>
    <w:p>
      <w:pPr>
        <w:spacing w:lineRule="auto"/>
      </w:pPr>
      <w:r>
        <w:rPr/>
        <w:t xml:space="preserve">CPU, RAM, disk, and network telemetry from agents on a steady cadence.</w:t>
      </w:r>
    </w:p>
    <w:p>
      <w:pPr>
        <w:spacing w:lineRule="auto"/>
      </w:pPr>
      <w:r>
        <w:rPr/>
        <w:t xml:space="preserve">03 · Alert</w:t>
      </w:r>
    </w:p>
    <w:p>
      <w:pPr>
        <w:pStyle w:val="Heading4"/>
        <w:spacing w:lineRule="auto"/>
      </w:pPr>
      <w:r>
        <w:rPr/>
        <w:t xml:space="preserve">Alert engine</w:t>
      </w:r>
    </w:p>
    <w:p>
      <w:pPr>
        <w:spacing w:lineRule="auto"/>
      </w:pPr>
      <w:r>
        <w:rPr/>
        <w:t xml:space="preserve">Threshold alerts via email, Slack, webhooks, and in-app notifications.</w:t>
      </w:r>
    </w:p>
    <w:p>
      <w:pPr>
        <w:spacing w:lineRule="auto"/>
      </w:pPr>
      <w:r>
        <w:rPr/>
        <w:t xml:space="preserve">04 · Secure</w:t>
      </w:r>
    </w:p>
    <w:p>
      <w:pPr>
        <w:pStyle w:val="Heading4"/>
        <w:spacing w:lineRule="auto"/>
      </w:pPr>
      <w:r>
        <w:rPr/>
        <w:t xml:space="preserve">Threat signals</w:t>
      </w:r>
    </w:p>
    <w:p>
      <w:pPr>
        <w:spacing w:lineRule="auto"/>
      </w:pPr>
      <w:r>
        <w:rPr/>
        <w:t xml:space="preserve">USB monitoring, unexpected port changes, and file integrity detection.</w:t>
      </w:r>
    </w:p>
    <w:p>
      <w:pPr>
        <w:spacing w:lineRule="auto"/>
      </w:pPr>
      <w:r>
        <w:rPr/>
        <w:t xml:space="preserve">05 · Automate</w:t>
      </w:r>
    </w:p>
    <w:p>
      <w:pPr>
        <w:pStyle w:val="Heading4"/>
        <w:spacing w:lineRule="auto"/>
      </w:pPr>
      <w:r>
        <w:rPr/>
        <w:t xml:space="preserve">Automation rules</w:t>
      </w:r>
    </w:p>
    <w:p>
      <w:pPr>
        <w:spacing w:lineRule="auto"/>
      </w:pPr>
      <w:r>
        <w:rPr/>
        <w:t xml:space="preserve">Event-driven rules to notify teams, open tickets, or run approved scripts.</w:t>
      </w:r>
    </w:p>
    <w:p>
      <w:pPr>
        <w:spacing w:lineRule="auto"/>
      </w:pPr>
      <w:r>
        <w:rPr/>
        <w:t xml:space="preserve">06 · Deploy</w:t>
      </w:r>
    </w:p>
    <w:p>
      <w:pPr>
        <w:pStyle w:val="Heading4"/>
        <w:spacing w:lineRule="auto"/>
      </w:pPr>
      <w:r>
        <w:rPr/>
        <w:t xml:space="preserve">Flexible hosting</w:t>
      </w:r>
    </w:p>
    <w:p>
      <w:pPr>
        <w:spacing w:lineRule="auto"/>
      </w:pPr>
      <w:r>
        <w:rPr/>
        <w:t xml:space="preserve">Run as SaaS or self-host with Docker and PostgreSQL on your infrastructure.</w:t>
      </w:r>
    </w:p>
    <w:p>
      <w:pPr>
        <w:pStyle w:val="Heading3"/>
        <w:spacing w:lineRule="auto"/>
      </w:pPr>
      <w:r>
        <w:rPr/>
        <w:t xml:space="preserve">Reference architecture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Discovery Agents</w:t>
      </w:r>
    </w:p>
    <w:p>
      <w:pPr>
        <w:spacing w:lineRule="auto"/>
      </w:pPr>
      <w:r>
        <w:rPr/>
        <w:t xml:space="preserve">Windows · macOS · Linux</w:t>
      </w:r>
    </w:p>
    <w:p>
      <w:pPr>
        <w:spacing w:lineRule="auto"/>
      </w:pPr>
      <w:r>
        <w:rPr/>
        <w:t xml:space="preserve">Heartbeat · inventory</w:t>
      </w:r>
    </w:p>
    <w:p>
      <w:pPr>
        <w:spacing w:lineRule="auto"/>
      </w:pPr>
      <w:r>
        <w:rPr/>
        <w:t xml:space="preserve">Agentless sweeps</w:t>
      </w:r>
    </w:p>
    <w:p>
      <w:pPr>
        <w:spacing w:lineRule="auto"/>
      </w:pPr>
      <w:r>
        <w:rPr/>
        <w:t xml:space="preserve">SNMP · SSH · WMI · nmap</w:t>
      </w:r>
    </w:p>
    <w:p>
      <w:pPr>
        <w:spacing w:lineRule="auto"/>
      </w:pPr>
      <w:r>
        <w:rPr/>
        <w:t xml:space="preserve">Network &amp; OT-adjacent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QS Assets Platform</w:t>
      </w:r>
    </w:p>
    <w:p>
      <w:pPr>
        <w:spacing w:lineRule="auto"/>
      </w:pPr>
      <w:r>
        <w:rPr/>
        <w:t xml:space="preserve">NestJS API · Next.js web · Prisma · Redis queues</w:t>
      </w:r>
    </w:p>
    <w:p>
      <w:pPr>
        <w:spacing w:lineRule="auto"/>
      </w:pPr>
      <w:r>
        <w:rPr/>
        <w:t xml:space="preserve">CMDB</w:t>
      </w:r>
    </w:p>
    <w:p>
      <w:pPr>
        <w:spacing w:lineRule="auto"/>
      </w:pPr>
      <w:r>
        <w:rPr/>
        <w:t xml:space="preserve">Assets</w:t>
      </w:r>
    </w:p>
    <w:p>
      <w:pPr>
        <w:spacing w:lineRule="auto"/>
      </w:pPr>
      <w:r>
        <w:rPr/>
        <w:t xml:space="preserve">ITSM</w:t>
      </w:r>
    </w:p>
    <w:p>
      <w:pPr>
        <w:spacing w:lineRule="auto"/>
      </w:pPr>
      <w:r>
        <w:rPr/>
        <w:t xml:space="preserve">Tickets</w:t>
      </w:r>
    </w:p>
    <w:p>
      <w:pPr>
        <w:spacing w:lineRule="auto"/>
      </w:pPr>
      <w:r>
        <w:rPr/>
        <w:t xml:space="preserve">Sec</w:t>
      </w:r>
    </w:p>
    <w:p>
      <w:pPr>
        <w:spacing w:lineRule="auto"/>
      </w:pPr>
      <w:r>
        <w:rPr/>
        <w:t xml:space="preserve">Vuln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PostgreSQL</w:t>
      </w:r>
    </w:p>
    <w:p>
      <w:pPr>
        <w:spacing w:lineRule="auto"/>
      </w:pPr>
      <w:r>
        <w:rPr/>
        <w:t xml:space="preserve">RLS · audit trails</w:t>
      </w:r>
    </w:p>
    <w:p>
      <w:pPr>
        <w:spacing w:lineRule="auto"/>
      </w:pPr>
      <w:r>
        <w:rPr/>
        <w:t xml:space="preserve">PostGIS ready</w:t>
      </w:r>
    </w:p>
    <w:p>
      <w:pPr>
        <w:spacing w:lineRule="auto"/>
      </w:pPr>
      <w:r>
        <w:rPr/>
        <w:t xml:space="preserve">Identity</w:t>
      </w:r>
    </w:p>
    <w:p>
      <w:pPr>
        <w:spacing w:lineRule="auto"/>
      </w:pPr>
      <w:r>
        <w:rPr/>
        <w:t xml:space="preserve">MFA · SAML / OIDC</w:t>
      </w:r>
    </w:p>
    <w:p>
      <w:pPr>
        <w:spacing w:lineRule="auto"/>
      </w:pPr>
      <w:r>
        <w:rPr/>
        <w:t xml:space="preserve">RBAC · SSO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03</w:t>
      </w:r>
      <w:r>
        <w:rPr/>
        <w:t xml:space="preserve">Module catalogue</w:t>
      </w:r>
    </w:p>
    <w:p>
      <w:pPr>
        <w:spacing w:lineRule="auto"/>
      </w:pPr>
      <w:r>
        <w:rPr/>
        <w:t xml:space="preserve">Twelve production modules shipped in the live product — same catalogue as the QS Assets marketing platform.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IT Asset Management</w:t>
      </w:r>
    </w:p>
    <w:p>
      <w:pPr>
        <w:spacing w:lineRule="auto"/>
      </w:pPr>
      <w:r>
        <w:rPr/>
        <w:t xml:space="preserve">Lifecycle from procurement to retirement — discovery, depreciation, checkout / attestation.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Non-IT Asset Management</w:t>
      </w:r>
    </w:p>
    <w:p>
      <w:pPr>
        <w:spacing w:lineRule="auto"/>
      </w:pPr>
      <w:r>
        <w:rPr/>
        <w:t xml:space="preserve">Facilities, furniture, equipment with QR / barcode tagging and maintenance schedules.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ITSM Service Desk</w:t>
      </w:r>
    </w:p>
    <w:p>
      <w:pPr>
        <w:spacing w:lineRule="auto"/>
      </w:pPr>
      <w:r>
        <w:rPr/>
        <w:t xml:space="preserve">Incident, problem, and change with SLA timers, escalation, and end-user portal.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Vulnerability Scanning</w:t>
      </w:r>
    </w:p>
    <w:p>
      <w:pPr>
        <w:spacing w:lineRule="auto"/>
      </w:pPr>
      <w:r>
        <w:rPr/>
        <w:t xml:space="preserve">Agent-based and agentless CVE detection, CVSS scoring, remediation tracking.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Network Monitoring</w:t>
      </w:r>
    </w:p>
    <w:p>
      <w:pPr>
        <w:spacing w:lineRule="auto"/>
      </w:pPr>
      <w:r>
        <w:rPr/>
        <w:t xml:space="preserve">SNMP polling, bandwidth, topology views, syslog / traps, NetFlow top talkers.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Patch Management</w:t>
      </w:r>
    </w:p>
    <w:p>
      <w:pPr>
        <w:spacing w:lineRule="auto"/>
      </w:pPr>
      <w:r>
        <w:rPr/>
        <w:t xml:space="preserve">OS / third-party visibility, compliance scoring, pilot rings and rollback paths.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CCTV Surveillance</w:t>
      </w:r>
    </w:p>
    <w:p>
      <w:pPr>
        <w:spacing w:lineRule="auto"/>
      </w:pPr>
      <w:r>
        <w:rPr/>
        <w:t xml:space="preserve">Camera fleet inventory, health monitoring, stream status, zone maintenance.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Fleet &amp; GPS</w:t>
      </w:r>
    </w:p>
    <w:p>
      <w:pPr>
        <w:spacing w:lineRule="auto"/>
      </w:pPr>
      <w:r>
        <w:rPr/>
        <w:t xml:space="preserve">Vehicle tracking, trip history, driver assignment where GPS feeds are available.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VDI Management</w:t>
      </w:r>
    </w:p>
    <w:p>
      <w:pPr>
        <w:spacing w:lineRule="auto"/>
      </w:pPr>
      <w:r>
        <w:rPr/>
        <w:t xml:space="preserve">Virtual desktop sessions, pool visibility, and resource utilization.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CMDB &amp; Dependencies</w:t>
      </w:r>
    </w:p>
    <w:p>
      <w:pPr>
        <w:spacing w:lineRule="auto"/>
      </w:pPr>
      <w:r>
        <w:rPr/>
        <w:t xml:space="preserve">Configuration items, relationship mapping, change impact context.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Procurement &amp; Contracts</w:t>
      </w:r>
    </w:p>
    <w:p>
      <w:pPr>
        <w:spacing w:lineRule="auto"/>
      </w:pPr>
      <w:r>
        <w:rPr/>
        <w:t xml:space="preserve">Vendors, POs, renewals, budget tracking, warranty / AMC alerts.</w:t>
      </w:r>
    </w:p>
    <w:p>
      <w:pPr>
        <w:spacing w:lineRule="auto"/>
      </w:pPr>
    </w:p>
    <w:p>
      <w:pPr>
        <w:pStyle w:val="Heading4"/>
        <w:spacing w:lineRule="auto"/>
      </w:pPr>
      <w:r>
        <w:rPr/>
        <w:t xml:space="preserve">Reports &amp; Compliance</w:t>
      </w:r>
    </w:p>
    <w:p>
      <w:pPr>
        <w:spacing w:lineRule="auto"/>
      </w:pPr>
      <w:r>
        <w:rPr/>
        <w:t xml:space="preserve">Dashboards, scheduled reports, audit-friendly activity trails, DPDP alignment.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04</w:t>
      </w:r>
      <w:r>
        <w:rPr/>
        <w:t xml:space="preserve">Architecture &amp; security</w:t>
      </w:r>
    </w:p>
    <w:p>
      <w:pPr>
        <w:pStyle w:val="Heading4"/>
        <w:spacing w:lineRule="auto"/>
      </w:pPr>
      <w:r>
        <w:rPr>
          <w:color w:val="000000"/>
        </w:rPr>
        <w:t xml:space="preserve">Stack (as-built)</w:t>
      </w:r>
    </w:p>
    <w:p>
      <w:pPr>
        <w:spacing w:line="340" w:lineRule="auto"/>
      </w:pPr>
      <w:r>
        <w:rPr>
          <w:sz w:val="20"/>
          <w:b/>
        </w:rPr>
        <w:t xml:space="preserve">Web:</w:t>
      </w:r>
      <w:r>
        <w:rPr>
          <w:sz w:val="20"/>
        </w:rPr>
        <w:t xml:space="preserve"> Next.js (Vercel for SaaS)</w:t>
      </w:r>
      <w:r>
        <w:rPr>
          <w:sz w:val="20"/>
        </w:rPr>
        <w:br w:type="textWrapping"/>
      </w:r>
      <w:r>
        <w:rPr>
          <w:sz w:val="20"/>
          <w:b/>
        </w:rPr>
        <w:t xml:space="preserve">API:</w:t>
      </w:r>
      <w:r>
        <w:rPr>
          <w:sz w:val="20"/>
        </w:rPr>
        <w:t xml:space="preserve"> NestJS on Railway (or customer host)</w:t>
      </w:r>
      <w:r>
        <w:rPr>
          <w:sz w:val="20"/>
        </w:rPr>
        <w:br w:type="textWrapping"/>
      </w:r>
      <w:r>
        <w:rPr>
          <w:sz w:val="20"/>
          <w:b/>
        </w:rPr>
        <w:t xml:space="preserve">Data:</w:t>
      </w:r>
      <w:r>
        <w:rPr>
          <w:sz w:val="20"/>
        </w:rPr>
        <w:t xml:space="preserve"> PostgreSQL / PostGIS + Redis</w:t>
      </w:r>
      <w:r>
        <w:rPr>
          <w:sz w:val="20"/>
        </w:rPr>
        <w:br w:type="textWrapping"/>
      </w:r>
      <w:r>
        <w:rPr>
          <w:sz w:val="20"/>
          <w:b/>
        </w:rPr>
        <w:t xml:space="preserve">Agent:</w:t>
      </w:r>
      <w:r>
        <w:rPr>
          <w:sz w:val="20"/>
        </w:rPr>
        <w:t xml:space="preserve"> Node discovery agent (Win / macOS / Linux)</w:t>
      </w:r>
      <w:r>
        <w:rPr>
          <w:sz w:val="20"/>
        </w:rPr>
        <w:br w:type="textWrapping"/>
      </w:r>
      <w:r>
        <w:rPr>
          <w:sz w:val="20"/>
          <w:b/>
        </w:rPr>
        <w:t xml:space="preserve">Packaging:</w:t>
      </w:r>
      <w:r>
        <w:rPr>
          <w:sz w:val="20"/>
        </w:rPr>
        <w:t xml:space="preserve"> Docker Compose for on-prem           </w:t>
      </w:r>
    </w:p>
    <w:p>
      <w:pPr>
        <w:pStyle w:val="Heading4"/>
        <w:spacing w:lineRule="auto"/>
      </w:pPr>
      <w:r>
        <w:rPr>
          <w:color w:val="000000"/>
        </w:rPr>
        <w:t xml:space="preserve">Security posture</w:t>
      </w:r>
    </w:p>
    <w:p>
      <w:pPr>
        <w:spacing w:line="340" w:lineRule="auto"/>
      </w:pPr>
      <w:r>
        <w:rPr>
          <w:sz w:val="20"/>
        </w:rPr>
        <w:t xml:space="preserve">             TLS in transit · secrets encryption · tenant RBAC</w:t>
      </w:r>
      <w:r>
        <w:rPr>
          <w:sz w:val="20"/>
        </w:rPr>
        <w:br w:type="textWrapping"/>
      </w:r>
      <w:r>
        <w:rPr>
          <w:sz w:val="20"/>
        </w:rPr>
        <w:t xml:space="preserve">             Postgres row-level security · MFA (TOTP) · SSO (SAML / OIDC)</w:t>
      </w:r>
      <w:r>
        <w:rPr>
          <w:sz w:val="20"/>
        </w:rPr>
        <w:br w:type="textWrapping"/>
      </w:r>
      <w:r>
        <w:rPr>
          <w:sz w:val="20"/>
        </w:rPr>
        <w:t xml:space="preserve">             Activity trails · SOC 2 control program</w:t>
      </w:r>
      <w:r>
        <w:rPr>
          <w:sz w:val="20"/>
        </w:rPr>
        <w:br w:type="textWrapping"/>
      </w:r>
      <w:r>
        <w:rPr>
          <w:sz w:val="20"/>
        </w:rPr>
        <w:t xml:space="preserve">             DPDP Act 2023–oriented practices · published DPA &amp; SLA           </w:t>
      </w:r>
    </w:p>
    <w:p>
      <w:pPr>
        <w:spacing w:lineRule="auto"/>
      </w:pPr>
      <w:r>
        <w:rPr/>
        <w:t xml:space="preserve">Trust center</w:t>
      </w:r>
    </w:p>
    <w:p>
      <w:pPr>
        <w:spacing w:lineRule="auto"/>
      </w:pPr>
      <w:r>
        <w:rPr/>
        <w:t xml:space="preserve">           Full security narrative, subprocessors, and disclosure contacts:           </w:t>
      </w:r>
      <w:hyperlink r:id="rId17">
        <w:r>
          <w:rPr>
            <w:rStyle w:val="Hyperlink"/>
          </w:rPr>
          <w:t xml:space="preserve">www.qsasset.com/security</w:t>
        </w:r>
      </w:hyperlink>
      <w:r>
        <w:rPr/>
        <w:t xml:space="preserve"> ·           DPA </w:t>
      </w:r>
      <w:hyperlink r:id="rId18">
        <w:r>
          <w:rPr>
            <w:rStyle w:val="Hyperlink"/>
          </w:rPr>
          <w:t xml:space="preserve">/dpa</w:t>
        </w:r>
      </w:hyperlink>
      <w:r>
        <w:rPr/>
        <w:t xml:space="preserve"> ·           SLA </w:t>
      </w:r>
      <w:hyperlink r:id="rId19">
        <w:r>
          <w:rPr>
            <w:rStyle w:val="Hyperlink"/>
          </w:rPr>
          <w:t xml:space="preserve">/sla</w:t>
        </w:r>
      </w:hyperlink>
      <w:r>
        <w:rPr/>
        <w:t xml:space="preserve"> ·           Status </w:t>
      </w:r>
      <w:hyperlink r:id="rId20">
        <w:r>
          <w:rPr>
            <w:rStyle w:val="Hyperlink"/>
          </w:rPr>
          <w:t xml:space="preserve">/status</w:t>
        </w:r>
      </w:hyperlink>
    </w:p>
    <w:p>
      <w:pPr>
        <w:pStyle w:val="Heading3"/>
        <w:spacing w:lineRule="auto"/>
      </w:pPr>
      <w:r>
        <w:rPr/>
        <w:t xml:space="preserve">On-prem sizing (self-host)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28"/>
        <w:gridCol w:w="2128"/>
        <w:gridCol w:w="2128"/>
        <w:gridCol w:w="2128"/>
        <w:gridCol w:w="21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</w:t>
            </w:r>
          </w:p>
        </w:tc>
      </w:tr>
      <w:tblGrid>
        <w:gridCol w:w="2128"/>
        <w:gridCol w:w="2128"/>
        <w:gridCol w:w="2128"/>
        <w:gridCol w:w="2128"/>
        <w:gridCol w:w="21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 to ~1,000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GB SSD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Engine 24+ / Compose 2.20+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10,000+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 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GB SSD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15+ · Redis 7+ · Node 20+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Host 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4"/>
          </w:tcPr>
          <w:p>
            <w:pPr>
              <w:spacing w:lineRule="auto"/>
            </w:pPr>
            <w:r>
              <w:rPr/>
              <w:t xml:space="preserve">Ubuntu 22.04 LTS · Rocky Linux 9 · Windows Server 2022 (container host)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05</w:t>
      </w:r>
      <w:r>
        <w:rPr/>
        <w:t xml:space="preserve">Competitive landscape</w:t>
      </w:r>
    </w:p>
    <w:p>
      <w:pPr>
        <w:spacing w:lineRule="auto"/>
      </w:pPr>
      <w:r>
        <w:rPr/>
        <w:t xml:space="preserve">Illustrative capability comparison — packaging varies by edition and region.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28"/>
        <w:gridCol w:w="2128"/>
        <w:gridCol w:w="2128"/>
        <w:gridCol w:w="2128"/>
        <w:gridCol w:w="21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ManageEngine-class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ServiceNow-class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JSM-class</w:t>
            </w:r>
          </w:p>
        </w:tc>
      </w:tr>
      <w:tblGrid>
        <w:gridCol w:w="2128"/>
        <w:gridCol w:w="2128"/>
        <w:gridCol w:w="2128"/>
        <w:gridCol w:w="2128"/>
        <w:gridCol w:w="21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IT + Non-IT asset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 + agentless 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Addon / 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Built-in ITSM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CCTV / Fleet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SaaS + true self-host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Cloud-first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India DPDP-oriented 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Typical time-to-value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2–8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3–6 months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6–12 months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3–5 months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Licensing shape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+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tech +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FUL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agent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06</w:t>
      </w:r>
      <w:r>
        <w:rPr/>
        <w:t xml:space="preserve">Commercial offer</w:t>
      </w:r>
    </w:p>
    <w:p>
      <w:pPr>
        <w:spacing w:lineRule="auto"/>
      </w:pPr>
      <w:r>
        <w:rPr>
          <w:b/>
        </w:rPr>
        <w:t xml:space="preserve">Enterprise / bank deployments use unique requirement-based pricing</w:t>
      </w:r>
      <w:r>
        <w:rPr/>
        <w:t xml:space="preserve"> —         branches, IT &amp; non-IT assets per site, on-premise vs SaaS, customization, training,         Year-2+ AMC, and optional managed services. See the         </w:t>
      </w:r>
      <w:hyperlink r:id="rId21">
        <w:r>
          <w:rPr>
            <w:rStyle w:val="Hyperlink"/>
          </w:rPr>
          <w:t xml:space="preserve">covering letter quotation</w:t>
        </w:r>
      </w:hyperlink>
      <w:r>
        <w:rPr/>
        <w:t xml:space="preserve">         (Bank A sample). Public SaaS catalogue below is indicative for self-serve plans only.       </w:t>
      </w:r>
    </w:p>
    <w:p>
      <w:pPr>
        <w:spacing w:lineRule="auto"/>
      </w:pPr>
      <w:r>
        <w:rPr/>
        <w:t xml:space="preserve">Pricing model (enterprise)</w:t>
      </w:r>
    </w:p>
    <w:p>
      <w:pPr>
        <w:spacing w:lineRule="auto"/>
      </w:pPr>
      <w:r>
        <w:rPr>
          <w:color w:val="000000"/>
          <w:sz w:val="21"/>
          <w:b/>
        </w:rPr>
        <w:t xml:space="preserve">License</w:t>
      </w:r>
      <w:r>
        <w:rPr>
          <w:color w:val="000000"/>
          <w:sz w:val="21"/>
        </w:rPr>
        <w:t xml:space="preserve"> = ∑ (assets × unit rate) by IT / non-IT ·           </w:t>
      </w:r>
      <w:r>
        <w:rPr>
          <w:color w:val="000000"/>
          <w:sz w:val="21"/>
          <w:b/>
        </w:rPr>
        <w:t xml:space="preserve">One-time</w:t>
      </w:r>
      <w:r>
        <w:rPr>
          <w:color w:val="000000"/>
          <w:sz w:val="21"/>
        </w:rPr>
        <w:t xml:space="preserve"> = implementation + customization + training ·           </w:t>
      </w:r>
      <w:r>
        <w:rPr>
          <w:color w:val="000000"/>
          <w:sz w:val="21"/>
          <w:b/>
        </w:rPr>
        <w:t xml:space="preserve">GST 18%</w:t>
      </w:r>
      <w:r>
        <w:rPr>
          <w:color w:val="000000"/>
          <w:sz w:val="21"/>
        </w:rPr>
        <w:t xml:space="preserve"> on taxable totals ·           </w:t>
      </w:r>
      <w:r>
        <w:rPr>
          <w:color w:val="000000"/>
          <w:sz w:val="21"/>
          <w:b/>
        </w:rPr>
        <w:t xml:space="preserve">AMC from Year 2</w:t>
      </w:r>
      <w:r>
        <w:rPr>
          <w:color w:val="000000"/>
          <w:sz w:val="21"/>
        </w:rPr>
        <w:t xml:space="preserve"> (typically ~18% of Year-1 license) ·           </w:t>
      </w:r>
      <w:r>
        <w:rPr>
          <w:color w:val="000000"/>
          <w:sz w:val="21"/>
          <w:b/>
        </w:rPr>
        <w:t xml:space="preserve">Managed services</w:t>
      </w:r>
      <w:r>
        <w:rPr>
          <w:color w:val="000000"/>
          <w:sz w:val="21"/>
        </w:rPr>
        <w:t xml:space="preserve"> quoted separately if required.         </w:t>
      </w:r>
    </w:p>
    <w:p>
      <w:pPr>
        <w:spacing w:lineRule="auto"/>
      </w:pPr>
      <w:r>
        <w:rPr/>
        <w:t xml:space="preserve">         Indicative public list pricing on         </w:t>
      </w:r>
      <w:hyperlink r:id="rId22">
        <w:r>
          <w:rPr>
            <w:rStyle w:val="Hyperlink"/>
          </w:rPr>
          <w:t xml:space="preserve">www.qsasset.com/pricing</w:t>
        </w:r>
      </w:hyperlink>
      <w:r>
        <w:rPr/>
        <w:t xml:space="preserve">         (INR, monthly). Promotional rates shown where currently active.       </w:t>
      </w:r>
    </w:p>
    <w:p>
      <w:pPr>
        <w:spacing w:lineRule="auto"/>
      </w:pPr>
      <w:r>
        <w:rPr/>
        <w:t xml:space="preserve">Starter</w:t>
      </w:r>
    </w:p>
    <w:p>
      <w:pPr>
        <w:spacing w:lineRule="auto"/>
      </w:pPr>
      <w:r>
        <w:rPr/>
        <w:t xml:space="preserve">Free</w:t>
      </w:r>
    </w:p>
    <w:p>
      <w:pPr>
        <w:spacing w:lineRule="auto"/>
      </w:pPr>
      <w:r>
        <w:rPr/>
        <w:t xml:space="preserve">Up to 5 assets · 4 users</w:t>
      </w:r>
    </w:p>
    <w:p>
      <w:pPr>
        <w:numPr>
          <w:ilvl w:val="0"/>
          <w:numId w:val="4"/>
        </w:numPr>
        <w:spacing w:lineRule="auto"/>
      </w:pPr>
      <w:r>
        <w:rPr/>
        <w:t xml:space="preserve">IT asset tracking</w:t>
      </w:r>
    </w:p>
    <w:p>
      <w:pPr>
        <w:numPr>
          <w:ilvl w:val="0"/>
          <w:numId w:val="4"/>
        </w:numPr>
        <w:spacing w:lineRule="auto"/>
      </w:pPr>
      <w:r>
        <w:rPr/>
        <w:t xml:space="preserve">Basic reports</w:t>
      </w:r>
    </w:p>
    <w:p>
      <w:pPr>
        <w:numPr>
          <w:ilvl w:val="0"/>
          <w:numId w:val="4"/>
        </w:numPr>
        <w:spacing w:lineRule="auto"/>
      </w:pPr>
      <w:r>
        <w:rPr/>
        <w:t xml:space="preserve">Email support</w:t>
      </w:r>
    </w:p>
    <w:p>
      <w:pPr>
        <w:numPr>
          <w:ilvl w:val="0"/>
          <w:numId w:val="4"/>
        </w:numPr>
        <w:spacing w:lineRule="auto"/>
      </w:pPr>
      <w:r>
        <w:rPr/>
        <w:t xml:space="preserve">Community access</w:t>
      </w:r>
    </w:p>
    <w:p>
      <w:pPr>
        <w:spacing w:lineRule="auto"/>
      </w:pPr>
      <w:r>
        <w:rPr/>
        <w:t xml:space="preserve">Professional</w:t>
      </w:r>
    </w:p>
    <w:p>
      <w:pPr>
        <w:spacing w:lineRule="auto"/>
      </w:pPr>
      <w:r>
        <w:rPr/>
        <w:t xml:space="preserve">₹8,500 </w:t>
      </w:r>
    </w:p>
    <w:p>
      <w:pPr>
        <w:spacing w:lineRule="auto"/>
      </w:pPr>
      <w:r>
        <w:rPr/>
        <w:t xml:space="preserve">/mo</w:t>
      </w:r>
    </w:p>
    <w:p>
      <w:pPr>
        <w:spacing w:lineRule="auto"/>
      </w:pPr>
      <w:r>
        <w:rPr/>
        <w:t xml:space="preserve">₹16,999</w:t>
      </w:r>
    </w:p>
    <w:p>
      <w:pPr>
        <w:spacing w:lineRule="auto"/>
      </w:pPr>
      <w:r>
        <w:rPr/>
        <w:t xml:space="preserve">Save 50%</w:t>
      </w:r>
    </w:p>
    <w:p>
      <w:pPr>
        <w:spacing w:lineRule="auto"/>
      </w:pPr>
      <w:r>
        <w:rPr/>
        <w:t xml:space="preserve">Unlimited assets</w:t>
      </w:r>
    </w:p>
    <w:p>
      <w:pPr>
        <w:numPr>
          <w:ilvl w:val="0"/>
          <w:numId w:val="5"/>
        </w:numPr>
        <w:spacing w:lineRule="auto"/>
      </w:pPr>
      <w:r>
        <w:rPr/>
        <w:t xml:space="preserve">Core platform modules</w:t>
      </w:r>
    </w:p>
    <w:p>
      <w:pPr>
        <w:numPr>
          <w:ilvl w:val="0"/>
          <w:numId w:val="5"/>
        </w:numPr>
        <w:spacing w:lineRule="auto"/>
      </w:pPr>
      <w:r>
        <w:rPr/>
        <w:t xml:space="preserve">Unlimited users</w:t>
      </w:r>
    </w:p>
    <w:p>
      <w:pPr>
        <w:numPr>
          <w:ilvl w:val="0"/>
          <w:numId w:val="5"/>
        </w:numPr>
        <w:spacing w:lineRule="auto"/>
      </w:pPr>
      <w:r>
        <w:rPr/>
        <w:t xml:space="preserve">Vulnerability scanning</w:t>
      </w:r>
    </w:p>
    <w:p>
      <w:pPr>
        <w:numPr>
          <w:ilvl w:val="0"/>
          <w:numId w:val="5"/>
        </w:numPr>
        <w:spacing w:lineRule="auto"/>
      </w:pPr>
      <w:r>
        <w:rPr/>
        <w:t xml:space="preserve">ITSM + SLA engine</w:t>
      </w:r>
    </w:p>
    <w:p>
      <w:pPr>
        <w:numPr>
          <w:ilvl w:val="0"/>
          <w:numId w:val="5"/>
        </w:numPr>
        <w:spacing w:lineRule="auto"/>
      </w:pPr>
      <w:r>
        <w:rPr/>
        <w:t xml:space="preserve">API access · Priority support</w:t>
      </w:r>
    </w:p>
    <w:p>
      <w:pPr>
        <w:spacing w:lineRule="auto"/>
      </w:pPr>
      <w:r>
        <w:rPr/>
        <w:t xml:space="preserve">Enterprise</w:t>
      </w:r>
    </w:p>
    <w:p>
      <w:pPr>
        <w:spacing w:lineRule="auto"/>
      </w:pPr>
      <w:r>
        <w:rPr/>
        <w:t xml:space="preserve">₹20,000 </w:t>
      </w:r>
    </w:p>
    <w:p>
      <w:pPr>
        <w:spacing w:lineRule="auto"/>
      </w:pPr>
      <w:r>
        <w:rPr/>
        <w:t xml:space="preserve">/mo</w:t>
      </w:r>
    </w:p>
    <w:p>
      <w:pPr>
        <w:spacing w:lineRule="auto"/>
      </w:pPr>
      <w:r>
        <w:rPr/>
        <w:t xml:space="preserve">₹39,999</w:t>
      </w:r>
    </w:p>
    <w:p>
      <w:pPr>
        <w:spacing w:lineRule="auto"/>
      </w:pPr>
      <w:r>
        <w:rPr/>
        <w:t xml:space="preserve">Save 50%</w:t>
      </w:r>
    </w:p>
    <w:p>
      <w:pPr>
        <w:spacing w:lineRule="auto"/>
      </w:pPr>
      <w:r>
        <w:rPr/>
        <w:t xml:space="preserve">On-prem + SaaS</w:t>
      </w:r>
    </w:p>
    <w:p>
      <w:pPr>
        <w:numPr>
          <w:ilvl w:val="0"/>
          <w:numId w:val="6"/>
        </w:numPr>
        <w:spacing w:lineRule="auto"/>
      </w:pPr>
      <w:r>
        <w:rPr/>
        <w:t xml:space="preserve">Everything in Professional</w:t>
      </w:r>
    </w:p>
    <w:p>
      <w:pPr>
        <w:numPr>
          <w:ilvl w:val="0"/>
          <w:numId w:val="6"/>
        </w:numPr>
        <w:spacing w:lineRule="auto"/>
      </w:pPr>
      <w:r>
        <w:rPr/>
        <w:t xml:space="preserve">On-premise deploy</w:t>
      </w:r>
    </w:p>
    <w:p>
      <w:pPr>
        <w:numPr>
          <w:ilvl w:val="0"/>
          <w:numId w:val="6"/>
        </w:numPr>
        <w:spacing w:lineRule="auto"/>
      </w:pPr>
      <w:r>
        <w:rPr/>
        <w:t xml:space="preserve">SSO / SAML / LDAP</w:t>
      </w:r>
    </w:p>
    <w:p>
      <w:pPr>
        <w:numPr>
          <w:ilvl w:val="0"/>
          <w:numId w:val="6"/>
        </w:numPr>
        <w:spacing w:lineRule="auto"/>
      </w:pPr>
      <w:r>
        <w:rPr/>
        <w:t xml:space="preserve">Dedicated support</w:t>
      </w:r>
    </w:p>
    <w:p>
      <w:pPr>
        <w:numPr>
          <w:ilvl w:val="0"/>
          <w:numId w:val="6"/>
        </w:numPr>
        <w:spacing w:lineRule="auto"/>
      </w:pPr>
      <w:r>
        <w:rPr/>
        <w:t xml:space="preserve">Custom SLA options</w:t>
      </w:r>
    </w:p>
    <w:p>
      <w:pPr>
        <w:spacing w:lineRule="auto"/>
      </w:pPr>
      <w:r>
        <w:rPr/>
        <w:t xml:space="preserve">Custom</w:t>
      </w:r>
    </w:p>
    <w:p>
      <w:pPr>
        <w:spacing w:lineRule="auto"/>
      </w:pPr>
      <w:r>
        <w:rPr/>
        <w:t xml:space="preserve">Quote</w:t>
      </w:r>
    </w:p>
    <w:p>
      <w:pPr>
        <w:spacing w:lineRule="auto"/>
      </w:pPr>
      <w:r>
        <w:rPr/>
        <w:t xml:space="preserve">Tailored SLA models</w:t>
      </w:r>
    </w:p>
    <w:p>
      <w:pPr>
        <w:numPr>
          <w:ilvl w:val="0"/>
          <w:numId w:val="7"/>
        </w:numPr>
        <w:spacing w:lineRule="auto"/>
      </w:pPr>
      <w:r>
        <w:rPr/>
        <w:t xml:space="preserve">Everything in Enterprise</w:t>
      </w:r>
    </w:p>
    <w:p>
      <w:pPr>
        <w:numPr>
          <w:ilvl w:val="0"/>
          <w:numId w:val="7"/>
        </w:numPr>
        <w:spacing w:lineRule="auto"/>
      </w:pPr>
      <w:r>
        <w:rPr/>
        <w:t xml:space="preserve">Custom asset limits</w:t>
      </w:r>
    </w:p>
    <w:p>
      <w:pPr>
        <w:numPr>
          <w:ilvl w:val="0"/>
          <w:numId w:val="7"/>
        </w:numPr>
        <w:spacing w:lineRule="auto"/>
      </w:pPr>
      <w:r>
        <w:rPr/>
        <w:t xml:space="preserve">Negotiated pricing</w:t>
      </w:r>
    </w:p>
    <w:p>
      <w:pPr>
        <w:numPr>
          <w:ilvl w:val="0"/>
          <w:numId w:val="7"/>
        </w:numPr>
        <w:spacing w:lineRule="auto"/>
      </w:pPr>
      <w:r>
        <w:rPr/>
        <w:t xml:space="preserve">Dedicated account manager</w:t>
      </w:r>
    </w:p>
    <w:p>
      <w:pPr>
        <w:numPr>
          <w:ilvl w:val="0"/>
          <w:numId w:val="7"/>
        </w:numPr>
        <w:spacing w:lineRule="auto"/>
      </w:pPr>
      <w:r>
        <w:rPr/>
        <w:t xml:space="preserve">Priority onboarding</w:t>
      </w:r>
    </w:p>
    <w:p>
      <w:pPr>
        <w:spacing w:lineRule="auto"/>
      </w:pPr>
      <w:r>
        <w:rPr>
          <w:color w:val="000000"/>
          <w:sz w:val="20"/>
        </w:rPr>
        <w:t xml:space="preserve">         USD list for reference: Professional $199/mo (promo $99.50) · Enterprise $499/mo (promo $249.50).         Starter asset ceiling is enforced at </w:t>
      </w:r>
      <w:r>
        <w:rPr>
          <w:color w:val="000000"/>
          <w:sz w:val="20"/>
          <w:b/>
        </w:rPr>
        <w:t xml:space="preserve">5 assets / 4 users</w:t>
      </w:r>
      <w:r>
        <w:rPr>
          <w:color w:val="000000"/>
          <w:sz w:val="20"/>
        </w:rPr>
        <w:t xml:space="preserve"> in product metering.         Professional &amp; Enterprise managed SaaS include a </w:t>
      </w:r>
      <w:r>
        <w:rPr>
          <w:color w:val="000000"/>
          <w:sz w:val="20"/>
          <w:b/>
        </w:rPr>
        <w:t xml:space="preserve">99.9% monthly uptime</w:t>
      </w:r>
      <w:r>
        <w:rPr>
          <w:color w:val="000000"/>
          <w:sz w:val="20"/>
        </w:rPr>
        <w:t xml:space="preserve"> commitment with published service credits —         see </w:t>
      </w:r>
      <w:hyperlink r:id="rId23">
        <w:r>
          <w:rPr>
            <w:color w:val="000000"/>
            <w:sz w:val="20"/>
            <w:rStyle w:val="Hyperlink"/>
          </w:rPr>
          <w:t xml:space="preserve">SLA</w:t>
        </w:r>
      </w:hyperlink>
      <w:r>
        <w:rPr>
          <w:color w:val="000000"/>
          <w:sz w:val="20"/>
        </w:rPr>
        <w:t xml:space="preserve">.       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07</w:t>
      </w:r>
      <w:r>
        <w:rPr/>
        <w:t xml:space="preserve">Implementation roadmap</w:t>
      </w:r>
    </w:p>
    <w:p>
      <w:pPr>
        <w:spacing w:lineRule="auto"/>
      </w:pPr>
      <w:r>
        <w:rPr/>
        <w:t xml:space="preserve">Phased rollout designed for controlled cutover. SaaS customers typically compress Phase 1 significantly.</w:t>
      </w:r>
    </w:p>
    <w:p>
      <w:pPr>
        <w:pStyle w:val="Heading4"/>
        <w:spacing w:lineRule="auto"/>
      </w:pPr>
      <w:r>
        <w:rPr/>
        <w:t xml:space="preserve">Weeks 1–2 · Foundation</w:t>
      </w:r>
    </w:p>
    <w:p>
      <w:pPr>
        <w:spacing w:lineRule="auto"/>
      </w:pPr>
      <w:r>
        <w:rPr/>
        <w:t xml:space="preserve">Tenant / environment stand-up (SaaS or Docker). SSO or directory hooks. Role model. Sites &amp; departments. Branding and alert channels.</w:t>
      </w:r>
    </w:p>
    <w:p>
      <w:pPr>
        <w:pStyle w:val="Heading4"/>
        <w:spacing w:lineRule="auto"/>
      </w:pPr>
      <w:r>
        <w:rPr/>
        <w:t xml:space="preserve">Weeks 3–5 · Discovery pilot</w:t>
      </w:r>
    </w:p>
    <w:p>
      <w:pPr>
        <w:spacing w:lineRule="auto"/>
      </w:pPr>
      <w:r>
        <w:rPr/>
        <w:t xml:space="preserve">Credential vault for SNMP / SSH / WMI. Agentless sweep of approved CIDRs. Pilot agent rollout (~50–100 endpoints). Discovery → managed asset approvals.</w:t>
      </w:r>
    </w:p>
    <w:p>
      <w:pPr>
        <w:pStyle w:val="Heading4"/>
        <w:spacing w:lineRule="auto"/>
      </w:pPr>
      <w:r>
        <w:rPr/>
        <w:t xml:space="preserve">Weeks 6–8 · Service desk &amp; scale-out</w:t>
      </w:r>
    </w:p>
    <w:p>
      <w:pPr>
        <w:spacing w:lineRule="auto"/>
      </w:pPr>
      <w:r>
        <w:rPr/>
        <w:t xml:space="preserve">ITSM queues, SLA policies, portal users. Broader agent deployment via GPO / MDM / packaging. Patch &amp; vulnerability workflows enabled.</w:t>
      </w:r>
    </w:p>
    <w:p>
      <w:pPr>
        <w:pStyle w:val="Heading4"/>
        <w:spacing w:lineRule="auto"/>
      </w:pPr>
      <w:r>
        <w:rPr/>
        <w:t xml:space="preserve">Weeks 9–12 · Harden &amp; handover</w:t>
      </w:r>
    </w:p>
    <w:p>
      <w:pPr>
        <w:spacing w:lineRule="auto"/>
      </w:pPr>
      <w:r>
        <w:rPr/>
        <w:t xml:space="preserve">Automation rules, contract / AMC alarms, attestation cycles, report schedules. Admin training, runbooks, go-live checklist, hypercare.</w:t>
      </w:r>
    </w:p>
    <w:p>
      <w:pPr>
        <w:pStyle w:val="Heading3"/>
        <w:spacing w:lineRule="auto"/>
      </w:pPr>
      <w:r>
        <w:rPr/>
        <w:t xml:space="preserve">Illustrative ROI (2,500 assets · 20 agent seats)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546.6666666666665"/>
        <w:gridCol w:w="3546.6666666666665"/>
        <w:gridCol w:w="35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Annualized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Traditional tools 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 Assets</w:t>
            </w:r>
          </w:p>
        </w:tc>
      </w:tr>
      <w:tblGrid>
        <w:gridCol w:w="3546.6666666666665"/>
        <w:gridCol w:w="3546.6666666666665"/>
        <w:gridCol w:w="35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Estimated annual spend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₹76,08,000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₹20,40,000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Implied savings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color w:val="047857"/>
                <w:b/>
              </w:rPr>
              <w:t xml:space="preserve">≈ ₹55.7L / year</w:t>
            </w:r>
          </w:p>
          <w:p>
            <w:pPr>
              <w:spacing w:lineRule="auto"/>
            </w:pPr>
            <w:r>
              <w:rPr/>
              <w:t xml:space="preserve"> at this scale (illustrative; actual TCO depends on edition &amp; scope)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000000"/>
          <w:sz w:val="19"/>
        </w:rPr>
        <w:t xml:space="preserve">Model mirrors the public calculator on the QS Assets homepage (asset unit cost + agent overhead). For a customer-specific ROI sheet, contact sales.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08</w:t>
      </w:r>
      <w:r>
        <w:rPr/>
        <w:t xml:space="preserve">Next steps</w:t>
      </w:r>
    </w:p>
    <w:p>
      <w:pPr>
        <w:numPr>
          <w:ilvl w:val="0"/>
          <w:numId w:val="8"/>
        </w:numPr>
        <w:spacing w:lineRule="auto"/>
      </w:pPr>
      <w:r>
        <w:rPr/>
        <w:t xml:space="preserve">Confirm estate size (IT + non-IT assets), hosting preference (SaaS / on-prem), and must-have modules.</w:t>
      </w:r>
    </w:p>
    <w:p>
      <w:pPr>
        <w:numPr>
          <w:ilvl w:val="0"/>
          <w:numId w:val="8"/>
        </w:numPr>
        <w:spacing w:lineRule="auto"/>
      </w:pPr>
      <w:r>
        <w:rPr/>
        <w:t xml:space="preserve">Book a live demo — discovery sweep + ticket↔asset walkthrough on a sandboxed estate.</w:t>
      </w:r>
    </w:p>
    <w:p>
      <w:pPr>
        <w:numPr>
          <w:ilvl w:val="0"/>
          <w:numId w:val="8"/>
        </w:numPr>
        <w:spacing w:lineRule="auto"/>
      </w:pPr>
      <w:r>
        <w:rPr/>
        <w:t xml:space="preserve">Start a Starter workspace free at </w:t>
      </w:r>
      <w:hyperlink r:id="rId24">
        <w:r>
          <w:rPr>
            <w:rStyle w:val="Hyperlink"/>
          </w:rPr>
          <w:t xml:space="preserve">www.qsasset.com/register</w:t>
        </w:r>
      </w:hyperlink>
      <w:r>
        <w:rPr/>
        <w:t xml:space="preserve">, or request an Enterprise order form.</w:t>
      </w:r>
    </w:p>
    <w:p>
      <w:pPr>
        <w:numPr>
          <w:ilvl w:val="0"/>
          <w:numId w:val="8"/>
        </w:numPr>
        <w:spacing w:lineRule="auto"/>
      </w:pPr>
      <w:r>
        <w:rPr/>
        <w:t xml:space="preserve">Security questionnaire pack: Trust Center, DPA, SLA, and subprocessors list.</w:t>
      </w:r>
    </w:p>
    <w:p>
      <w:pPr>
        <w:pStyle w:val="Heading2"/>
        <w:spacing w:lineRule="auto"/>
      </w:pPr>
      <w:r>
        <w:rPr/>
        <w:t xml:space="preserve">Ready to inventory your </w:t>
      </w:r>
      <w:r>
        <w:rPr/>
        <w:t xml:space="preserve">estate</w:t>
      </w:r>
      <w:r>
        <w:rPr/>
        <w:t xml:space="preserve">?</w:t>
      </w:r>
    </w:p>
    <w:p>
      <w:pPr>
        <w:spacing w:lineRule="auto"/>
      </w:pPr>
      <w:r>
        <w:rPr/>
        <w:t xml:space="preserve">Talk to NeurQ AI Labs — Hazratganj, Lucknow · Mon–Fri 10:00–18:00 IST</w:t>
      </w:r>
    </w:p>
    <w:p>
      <w:pPr>
        <w:spacing w:lineRule="auto"/>
      </w:pPr>
      <w:hyperlink r:id="rId25">
        <w:r>
          <w:rPr>
            <w:rStyle w:val="Hyperlink"/>
          </w:rPr>
          <w:t xml:space="preserve">Contact sales</w:t>
        </w:r>
      </w:hyperlink>
    </w:p>
    <w:p>
      <w:pPr>
        <w:spacing w:lineRule="auto"/>
      </w:pPr>
      <w:hyperlink r:id="rId26">
        <w:r>
          <w:rPr>
            <w:rStyle w:val="Hyperlink"/>
          </w:rPr>
          <w:t xml:space="preserve">Start free trial</w:t>
        </w:r>
      </w:hyperlink>
    </w:p>
    <w:p>
      <w:pPr>
        <w:spacing w:lineRule="auto"/>
      </w:pPr>
      <w:hyperlink r:id="rId27">
        <w:r>
          <w:rPr>
            <w:rStyle w:val="Hyperlink"/>
          </w:rPr>
          <w:t xml:space="preserve">contact@qsasset.com</w:t>
        </w:r>
      </w:hyperlink>
    </w:p>
    <w:p>
      <w:pPr>
        <w:spacing w:lineRule="auto"/>
      </w:pPr>
      <w:r>
        <w:rPr>
          <w:color w:val="64748b"/>
          <w:sz w:val="20"/>
        </w:rPr>
        <w:t xml:space="preserve">           +91 7752981110 · smrita@neurqai.com ·           </w:t>
      </w:r>
      <w:hyperlink r:id="rId28">
        <w:r>
          <w:rPr>
            <w:color w:val="64748b"/>
            <w:sz w:val="20"/>
            <w:rStyle w:val="Hyperlink"/>
          </w:rPr>
          <w:t xml:space="preserve">www.qsasset.com</w:t>
        </w:r>
      </w:hyperlink>
    </w:p>
    <w:p>
      <w:pPr>
        <w:spacing w:lineRule="auto"/>
      </w:pPr>
      <w:r>
        <w:rPr/>
        <w:t xml:space="preserve">© 2026 NeurQ AI Labs Private Limited · Confidential for intended recipient</w:t>
      </w:r>
    </w:p>
    <w:p>
      <w:pPr>
        <w:spacing w:lineRule="auto"/>
      </w:pPr>
      <w:hyperlink r:id="rId29">
        <w:r>
          <w:rPr>
            <w:rStyle w:val="Hyperlink"/>
          </w:rPr>
          <w:t xml:space="preserve">Privacy</w:t>
        </w:r>
      </w:hyperlink>
    </w:p>
    <w:p>
      <w:pPr>
        <w:spacing w:lineRule="auto"/>
      </w:pPr>
      <w:r>
        <w:rPr/>
        <w:t xml:space="preserve"> ·           </w:t>
      </w:r>
    </w:p>
    <w:p>
      <w:pPr>
        <w:spacing w:lineRule="auto"/>
      </w:pPr>
      <w:hyperlink r:id="rId30">
        <w:r>
          <w:rPr>
            <w:rStyle w:val="Hyperlink"/>
          </w:rPr>
          <w:t xml:space="preserve">Terms</w:t>
        </w:r>
      </w:hyperlink>
    </w:p>
    <w:p>
      <w:pPr>
        <w:spacing w:lineRule="auto"/>
      </w:pPr>
      <w:r>
        <w:rPr/>
        <w:t xml:space="preserve"> ·           </w:t>
      </w:r>
    </w:p>
    <w:p>
      <w:pPr>
        <w:spacing w:lineRule="auto"/>
      </w:pPr>
      <w:hyperlink r:id="rId31">
        <w:r>
          <w:rPr>
            <w:rStyle w:val="Hyperlink"/>
          </w:rPr>
          <w:t xml:space="preserve">Security</w:t>
        </w:r>
      </w:hyperlink>
    </w:p>
    <w:p>
      <w:pPr>
        <w:spacing w:lineRule="auto"/>
      </w:pPr>
      <w:r>
        <w:rPr/>
        <w:t xml:space="preserve"> ·           Ref QS-ENT-PROPOSAL-2026-07  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qsasset.com" TargetMode="External"/>
  <Relationship Id="rId7" Type="http://schemas.openxmlformats.org/officeDocument/2006/relationships/hyperlink" Target="#covering-letter" TargetMode="External"/>
  <Relationship Id="rId8" Type="http://schemas.openxmlformats.org/officeDocument/2006/relationships/hyperlink" Target="#s1" TargetMode="External"/>
  <Relationship Id="rId9" Type="http://schemas.openxmlformats.org/officeDocument/2006/relationships/hyperlink" Target="#s2" TargetMode="External"/>
  <Relationship Id="rId10" Type="http://schemas.openxmlformats.org/officeDocument/2006/relationships/hyperlink" Target="#s3" TargetMode="External"/>
  <Relationship Id="rId11" Type="http://schemas.openxmlformats.org/officeDocument/2006/relationships/hyperlink" Target="#s4" TargetMode="External"/>
  <Relationship Id="rId12" Type="http://schemas.openxmlformats.org/officeDocument/2006/relationships/hyperlink" Target="#s5" TargetMode="External"/>
  <Relationship Id="rId13" Type="http://schemas.openxmlformats.org/officeDocument/2006/relationships/hyperlink" Target="#s6" TargetMode="External"/>
  <Relationship Id="rId14" Type="http://schemas.openxmlformats.org/officeDocument/2006/relationships/hyperlink" Target="#s7" TargetMode="External"/>
  <Relationship Id="rId15" Type="http://schemas.openxmlformats.org/officeDocument/2006/relationships/hyperlink" Target="#s8" TargetMode="External"/>
  <Relationship Id="rId16" Type="http://schemas.openxmlformats.org/officeDocument/2006/relationships/hyperlink" Target="https://www.qsasset.com" TargetMode="External"/>
  <Relationship Id="rId17" Type="http://schemas.openxmlformats.org/officeDocument/2006/relationships/hyperlink" Target="https://www.qsasset.com/security" TargetMode="External"/>
  <Relationship Id="rId18" Type="http://schemas.openxmlformats.org/officeDocument/2006/relationships/hyperlink" Target="https://www.qsasset.com/dpa" TargetMode="External"/>
  <Relationship Id="rId19" Type="http://schemas.openxmlformats.org/officeDocument/2006/relationships/hyperlink" Target="https://www.qsasset.com/sla" TargetMode="External"/>
  <Relationship Id="rId20" Type="http://schemas.openxmlformats.org/officeDocument/2006/relationships/hyperlink" Target="https://www.qsasset.com/status" TargetMode="External"/>
  <Relationship Id="rId21" Type="http://schemas.openxmlformats.org/officeDocument/2006/relationships/hyperlink" Target="#covering-letter" TargetMode="External"/>
  <Relationship Id="rId22" Type="http://schemas.openxmlformats.org/officeDocument/2006/relationships/hyperlink" Target="https://www.qsasset.com/pricing" TargetMode="External"/>
  <Relationship Id="rId23" Type="http://schemas.openxmlformats.org/officeDocument/2006/relationships/hyperlink" Target="https://www.qsasset.com/sla" TargetMode="External"/>
  <Relationship Id="rId24" Type="http://schemas.openxmlformats.org/officeDocument/2006/relationships/hyperlink" Target="https://www.qsasset.com/register" TargetMode="External"/>
  <Relationship Id="rId25" Type="http://schemas.openxmlformats.org/officeDocument/2006/relationships/hyperlink" Target="https://www.qsasset.com/contact" TargetMode="External"/>
  <Relationship Id="rId26" Type="http://schemas.openxmlformats.org/officeDocument/2006/relationships/hyperlink" Target="https://www.qsasset.com/register" TargetMode="External"/>
  <Relationship Id="rId27" Type="http://schemas.openxmlformats.org/officeDocument/2006/relationships/hyperlink" Target="mailto:contact@qsasset.com" TargetMode="External"/>
  <Relationship Id="rId28" Type="http://schemas.openxmlformats.org/officeDocument/2006/relationships/hyperlink" Target="https://www.qsasset.com" TargetMode="External"/>
  <Relationship Id="rId29" Type="http://schemas.openxmlformats.org/officeDocument/2006/relationships/hyperlink" Target="https://www.qsasset.com/privacy" TargetMode="External"/>
  <Relationship Id="rId30" Type="http://schemas.openxmlformats.org/officeDocument/2006/relationships/hyperlink" Target="https://www.qsasset.com/terms" TargetMode="External"/>
  <Relationship Id="rId31" Type="http://schemas.openxmlformats.org/officeDocument/2006/relationships/hyperlink" Target="https://www.qsasset.com/security" TargetMode="External"/>
  <Relationship Id="rId3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2026-07-14T07:37:19.794Z</dcterms:created>
  <dcterms:modified xsi:type="dcterms:W3CDTF">2026-07-14T07:37:19.794Z</dcterms:modified>
</cp:coreProperties>
</file>