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Semestrální práce I – Adventura</w:t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Konec odevzdávání - 28.11.2017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Finální verzi vaší semestrální práce nahrajte do osobního Githubu. Nemusíte mi posílat emaily, aj notifikace. Zbytek dořešíme během obhajoby.</w:t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 položky “musí být” jsou nutným předpokladem k obhájení adventury. Bez těchto funkcionalit nebudu požadovat Adventuru za hotovou.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Další kreativitě se meze nekladou! Jsem ochoten vám dát bonusových 5 bodů za jakékoliv zajímavé funkce - animace, zvukové efekty, aj.</w:t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tbl>
      <w:tblPr>
        <w:tblStyle w:val="Table1"/>
        <w:tblW w:w="7965.0" w:type="dxa"/>
        <w:jc w:val="left"/>
        <w:tblInd w:w="12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4035"/>
        <w:gridCol w:w="3930"/>
        <w:tblGridChange w:id="0">
          <w:tblGrid>
            <w:gridCol w:w="4035"/>
            <w:gridCol w:w="393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  <w:rtl w:val="0"/>
              </w:rPr>
              <w:t xml:space="preserve">Požadavek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  <w:rtl w:val="0"/>
              </w:rPr>
              <w:t xml:space="preserve">bodová ztráta, když se požadavek neudělá(-) body za požadavek, který je navíc (+)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Základem je adventura s textovým uživatelským rozhraním, kterou jste odevzdali v kurzu 4IT101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Třídy aplikace budou rozděleny do balíčků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Hlavní okno grafického rozhraní bude obsahovat textovou oblast, ve které se budou vypisovat jednotlivé texty hry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Pro vstup příkazů bude využito textové pole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Součástí grafického rozhraní musí být menu, které bude obsahovat minimálně položky Nová hra, Nápověda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Při přechodu do prostoru se na panelu vypíší východy z prostoru, realizováno pomocí návrhového vzoru Observer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Při přechodu do jiného prostoru se v obrázku s plánem prostorů, vyznačí nový aktuální prostor (tečkou nebo obrázkem), realizováno pomocí návrhového vzoru Observer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Nápověda ( uložená v HTML souboru) se bude zobrazovat v samostatném okně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  <w:rtl w:val="0"/>
              </w:rPr>
              <w:t xml:space="preserve">Finální Adventura bude uložena na vašem osobním gitu.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Obsah batohu se bude zobrazovat pomocí obrázků na panelu, při změně obsahu batohu se provede aktualizace obrázků, v řešení bude využit návrhový vzor Observer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Aplikace se spustí buď v textovém rozhraní, anebo v grafickém rozhraní podle parametru příkazové řádky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Úloha obsahuje spustitelný archiv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Přechod do sousedních prostorů bude realizován combo boxem nebo jiným UI prvkem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Objekty v prostoru se budou zobrazovat pomocí obrázků, při změně obsahu prostoru se provede aktualizace obrázků, v řešení bude využit návrhový vzor Observer. Sebrání i vyhození objektu z/do prostoru bude možné provést na klik (bez nutnosti zadávání textového příkazu)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musí být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Komentáře pro javadoc u tříd a metod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pokud nebude implementováno -3 body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Zpoždění při odevzdání finální verze, tj vytvoření záložky grafickaVerze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-3 body za každý započatý týden zpoždění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Místo zadávání příkazu v textovém poli bude uživatel vybírat ze seznamu příkazů (combo box nebo jiné řešení). Snažte se úplně eliminovat nutnost požívat používat textové příkazy.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bonus maximálně 3 body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