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egoe UI" w:hAnsi="Segoe UI"/>
          <w:b/>
          <w:color w:val="1B365D"/>
          <w:sz w:val="48"/>
        </w:rPr>
        <w:t>System Architecture &amp; Technical Workflow:</w:t>
        <w:br/>
        <w:t>Vision-Based OMR Sheet Evaluation Engine</w:t>
      </w:r>
    </w:p>
    <w:p>
      <w:pPr>
        <w:spacing w:after="480"/>
        <w:jc w:val="center"/>
      </w:pPr>
      <w:r>
        <w:rPr>
          <w:rFonts w:ascii="Segoe UI" w:hAnsi="Segoe UI"/>
          <w:i/>
          <w:color w:val="555555"/>
          <w:sz w:val="24"/>
        </w:rPr>
        <w:t>A Technical Reference Document for Research Paper Formulation</w:t>
      </w:r>
    </w:p>
    <w:p>
      <w:pPr>
        <w:spacing w:after="480"/>
        <w:jc w:val="center"/>
      </w:pPr>
      <w:r>
        <w:rPr>
          <w:color w:val="CCCCCC"/>
        </w:rPr>
        <w:t>——————————————————————————————————————————————————</w:t>
      </w:r>
    </w:p>
    <w:p>
      <w:pPr>
        <w:pStyle w:val="Heading2"/>
        <w:keepNext/>
        <w:spacing w:before="240" w:after="120"/>
      </w:pPr>
      <w:r>
        <w:rPr>
          <w:rFonts w:ascii="Segoe UI" w:hAnsi="Segoe UI"/>
          <w:b/>
          <w:color w:val="4A779D"/>
          <w:sz w:val="28"/>
        </w:rPr>
        <w:t>Abstract</w:t>
      </w:r>
    </w:p>
    <w:p>
      <w:pPr>
        <w:spacing w:line="276" w:lineRule="auto" w:after="240"/>
      </w:pPr>
      <w:r>
        <w:t>This technical document delineates the architecture, database schema, computer vision pipeline, and data synchronisation mechanisms of the Vision OMR (Optical Mark Recognition) System. Designed for mobile-centric environments, the system replaces traditional rigid hardware scanners with a robust software pipeline. It integrates a React Native mobile client, a Node.js/Express data gateway, and a Python/FastAPI evaluating backend driven by YOLOv8-Nano and secondary OpenCV contrast-verification spot-checkers. Alphanumeric University Seat Number (USN) handwritten characters are extracted via EasyOCR with structural regex parsing, minimising manual errors. Detailed operational benchmarks indicate an average inference speed of ~4.5ms and a reliable full-pipeline response time, demonstrating high viability for scalable real-world examinations.</w:t>
      </w:r>
    </w:p>
    <w:p>
      <w:pPr>
        <w:pStyle w:val="Heading1"/>
        <w:keepNext/>
        <w:spacing w:before="240" w:after="120"/>
      </w:pPr>
      <w:r>
        <w:rPr>
          <w:rFonts w:ascii="Segoe UI" w:hAnsi="Segoe UI"/>
          <w:b/>
          <w:color w:val="1B365D"/>
          <w:sz w:val="36"/>
        </w:rPr>
        <w:t>1. Introduction &amp; Multi-Tier Architecture</w:t>
      </w:r>
    </w:p>
    <w:p>
      <w:r>
        <w:t>Standard OMR evaluation frameworks historically rely on dedicated flatbed OMR scanners. While highly accurate, these hardware scanners are expensive, non-portable, and highly sensitive to paper alignment, skew, and print defects. The Vision OMR System overcomes these constraints by shifting OMR decoding to mobile-acquired image feeds. This transition introduces substantial noise—such as radial camera lens distortion, uneven lighting, hand tremor, shadows, and varying view angles. To handle these, a robust multi-tier system architecture is established:</w:t>
      </w:r>
    </w:p>
    <w:p>
      <w:pPr>
        <w:pStyle w:val="ListBullet"/>
      </w:pPr>
      <w:r>
        <w:rPr>
          <w:b/>
        </w:rPr>
        <w:t xml:space="preserve">Mobile Client (React Native): </w:t>
      </w:r>
      <w:r>
        <w:t>Provides an interactive camera scanner interface with visual alignment helper grids. It captures images, manages user interactions, displays results, and handles overrides.</w:t>
      </w:r>
    </w:p>
    <w:p>
      <w:pPr>
        <w:pStyle w:val="ListBullet"/>
      </w:pPr>
      <w:r>
        <w:rPr>
          <w:b/>
        </w:rPr>
        <w:t xml:space="preserve">Data Gateway (Node.js &amp; Express): </w:t>
      </w:r>
      <w:r>
        <w:t>Serves as the central integration controller. It acts as an intermediate route proxy, manages relational persistence with PostgreSQL, orchestrates authentication, exam sessions, and reporting.</w:t>
      </w:r>
    </w:p>
    <w:p>
      <w:pPr>
        <w:pStyle w:val="ListBullet"/>
      </w:pPr>
      <w:r>
        <w:rPr>
          <w:b/>
        </w:rPr>
        <w:t xml:space="preserve">Backend AI Engine (Python &amp; FastAPI): </w:t>
      </w:r>
      <w:r>
        <w:t>Performs the computationally intensive tasks of image correction, deep learning-based detection (YOLOv8), secondary bubble state micro-classification, spatial layout mapping, scoring, and handwriting OCR (EasyOCR).</w:t>
      </w:r>
    </w:p>
    <w:p>
      <w:pPr>
        <w:pStyle w:val="Heading2"/>
        <w:keepNext/>
        <w:spacing w:before="240" w:after="120"/>
      </w:pPr>
      <w:r>
        <w:rPr>
          <w:rFonts w:ascii="Segoe UI" w:hAnsi="Segoe UI"/>
          <w:b/>
          <w:color w:val="4A779D"/>
          <w:sz w:val="28"/>
        </w:rPr>
        <w:t>1.1 System Flow &amp; Execution Sequence</w:t>
      </w:r>
    </w:p>
    <w:p>
      <w:r>
        <w:t>The standard end-to-end evaluation flow follows a synchronous request-response pathway for single-sheet grading, and an asynchronous task-based execution for multi-page batch PDF processing:</w:t>
      </w:r>
    </w:p>
    <w:p>
      <w:pPr>
        <w:spacing w:before="120" w:after="120"/>
        <w:ind w:left="360"/>
      </w:pPr>
      <w:r>
        <w:rPr>
          <w:rFonts w:ascii="Courier New" w:hAnsi="Courier New"/>
          <w:sz w:val="19"/>
        </w:rPr>
        <w:t>Mobile App (React Native)</w:t>
        <w:br/>
        <w:t xml:space="preserve">      │ (multipart/form-data POST /api/evaluate)</w:t>
        <w:br/>
        <w:t xml:space="preserve">      ▼</w:t>
        <w:br/>
        <w:t>Express Data Gateway ── [Persists evaluations to PostgreSQL]</w:t>
        <w:br/>
        <w:t xml:space="preserve">      │ (forward payload POST /evaluate)</w:t>
        <w:br/>
        <w:t xml:space="preserve">      ▼</w:t>
        <w:br/>
        <w:t>FastAPI Backend AI Engine</w:t>
        <w:br/>
        <w:t xml:space="preserve">      ├── 1. Image Preprocessing (CLAHE + Bilateral Filter + Warp)</w:t>
        <w:br/>
        <w:t xml:space="preserve">      ├── 2. YOLOv8 Bubble/USN Bbox Localization &amp; Custom NMS</w:t>
        <w:br/>
        <w:t xml:space="preserve">      ├── 3. Secondary Spot-Check Micro-Classification (Contrast Delta)</w:t>
        <w:br/>
        <w:t xml:space="preserve">      ├── 4. EasyOCR Alphanumeric USN Extraction + Structure Formatting</w:t>
        <w:br/>
        <w:t xml:space="preserve">      └── 5. Spatial Coordinate Sorting &amp; Layout Scoring</w:t>
        <w:br/>
      </w:r>
    </w:p>
    <w:p>
      <w:pPr>
        <w:pStyle w:val="Heading1"/>
        <w:keepNext/>
        <w:spacing w:before="240" w:after="120"/>
      </w:pPr>
      <w:r>
        <w:rPr>
          <w:rFonts w:ascii="Segoe UI" w:hAnsi="Segoe UI"/>
          <w:b/>
          <w:color w:val="1B365D"/>
          <w:sz w:val="36"/>
        </w:rPr>
        <w:t>2. The Computer Vision &amp; AI Pipeline</w:t>
      </w:r>
    </w:p>
    <w:p>
      <w:r>
        <w:t>The Backend AI engine executes a modular five-stage pipeline to evaluate a sheet image. Below is the technical breakdown of each stage:</w:t>
      </w:r>
    </w:p>
    <w:p>
      <w:pPr>
        <w:pStyle w:val="Heading2"/>
        <w:keepNext/>
        <w:spacing w:before="240" w:after="120"/>
      </w:pPr>
      <w:r>
        <w:rPr>
          <w:rFonts w:ascii="Segoe UI" w:hAnsi="Segoe UI"/>
          <w:b/>
          <w:color w:val="4A779D"/>
          <w:sz w:val="28"/>
        </w:rPr>
        <w:t>2.1 Image Preprocessing (core/preprocess.py)</w:t>
      </w:r>
    </w:p>
    <w:p>
      <w:r>
        <w:t>Mobile capture yields noise and illumination variance. The preprocessing module corrects these via the following sequential steps:</w:t>
      </w:r>
    </w:p>
    <w:p>
      <w:pPr>
        <w:pStyle w:val="ListBullet"/>
      </w:pPr>
      <w:r>
        <w:t>Upscaling: Mobile frames smaller than 800px in width are upscaled using cubic interpolation (cv2.INTER_CUBIC). This ensures bubble regions contain sufficient pixel counts for robust inner-fill ratio analysis.</w:t>
      </w:r>
    </w:p>
    <w:p>
      <w:pPr>
        <w:pStyle w:val="ListBullet"/>
      </w:pPr>
      <w:r>
        <w:t>Illumination Equalisation: To eliminate camera flash glares and lighting gradients, the image is converted to the LAB color space. CLAHE (Contrast Limited Adaptive Histogram Equalization) with a clip limit of 2.0 and tile grid size of 8x8 is applied to the L-channel, before converting back to BGR.</w:t>
      </w:r>
    </w:p>
    <w:p>
      <w:pPr>
        <w:pStyle w:val="ListBullet"/>
      </w:pPr>
      <w:r>
        <w:t>Bilateral Filtering: Applied with d=9, sigmaColor=75, and sigmaSpace=75. This edge-preserving filter effectively smooths out scanner grain and sensor noise while keeping bubble borders sharp.</w:t>
      </w:r>
    </w:p>
    <w:p>
      <w:pPr>
        <w:pStyle w:val="ListBullet"/>
      </w:pPr>
      <w:r>
        <w:t>Homography Perspective Correction: Canny edge detection (with threshold1=30, threshold2=100 on a Gaussian blurred gray image) maps contours. The largest contour is selected. If it forms a quadrilateral (4-sided polygon) using the Douglas-Peucker algorithm (cv2.approxPolyDP with epsilon=0.02 * perimeter), the corner points are ordered (Top-Left, Top-Right, Bottom-Right, Bottom-Left). A perspective projection matrix is computed to warp the sheet to standard 800x1100 coordinates. If warping yields flat, low-contrast noise (standard deviation &lt; 18.0), it gracefully falls back to the original image.</w:t>
      </w:r>
    </w:p>
    <w:p>
      <w:pPr>
        <w:pStyle w:val="Heading2"/>
        <w:keepNext/>
        <w:spacing w:before="240" w:after="120"/>
      </w:pPr>
      <w:r>
        <w:rPr>
          <w:rFonts w:ascii="Segoe UI" w:hAnsi="Segoe UI"/>
          <w:b/>
          <w:color w:val="4A779D"/>
          <w:sz w:val="28"/>
        </w:rPr>
        <w:t>2.2 YOLOv8 Localization &amp; Custom Class-Aware NMS (core/localization.py)</w:t>
      </w:r>
    </w:p>
    <w:p>
      <w:r>
        <w:t>Instead of classical grid-anchored matching which fails when paper contracts/stretches, the system localizes bubbles dynamically using a custom-trained YOLOv8-Nano deep learning model. The model weighs 6.2MB, making it ideal for rapid execution. The three targeted classes are: filled (ID 0), unfilled (ID 1), and usn (ID 2). The model is invoked at 640px image size with a default confidence of 0.20.</w:t>
      </w:r>
    </w:p>
    <w:p>
      <w:r>
        <w:t>To avoid multiple bounding box overlays on tightly packed OMR bubble grids, a custom class-aware Non-Maximum Suppression (NMS) is implemented. Standard NMS suppresses adjacent bounding boxes across different classes, which can wipe out nearby valid bubble detections. The custom NMS clusters detections by class_id first, sorts by confidence, computes Intersection-over-Union (IoU), and suppresses overlapping boxes (IoU &gt; 0.45) only within the same class category.</w:t>
      </w:r>
    </w:p>
    <w:p>
      <w:pPr>
        <w:pStyle w:val="Heading2"/>
        <w:keepNext/>
        <w:spacing w:before="240" w:after="120"/>
      </w:pPr>
      <w:r>
        <w:rPr>
          <w:rFonts w:ascii="Segoe UI" w:hAnsi="Segoe UI"/>
          <w:b/>
          <w:color w:val="4A779D"/>
          <w:sz w:val="28"/>
        </w:rPr>
        <w:t>2.3 Secondary Spot-Check Micro-Classification (core/classification.py)</w:t>
      </w:r>
    </w:p>
    <w:p>
      <w:r>
        <w:t>To safeguard against marginal thresholds and partial marks (e.g., tick marks, smudges, incomplete shading), each bubble bounding box localized by YOLO undergoes a secondary OpenCV spot-check. The localized crop is padded by 15% and resized to 64x64 pixels. The pipeline includes:</w:t>
      </w:r>
    </w:p>
    <w:p>
      <w:pPr>
        <w:pStyle w:val="ListBullet"/>
      </w:pPr>
      <w:r>
        <w:t>Bubble Border Removal: Otsu binarization creates a binary mask. The script fits a minimum enclosing circle to contours between radius 12 and 30 to extract the precise circle center (cx, cy) and radius (r). A circular mask is created with a radius shrunk by 40% (r * 0.6) to inspect only the inner core, excluding the printed border ring.</w:t>
      </w:r>
    </w:p>
    <w:p>
      <w:pPr>
        <w:pStyle w:val="ListBullet"/>
      </w:pPr>
      <w:r>
        <w:t>Local Paper Contrast Reference: Contrast thresholding is highly sensitive to background paper brightness. A local paper reference value is computed as the 90th percentile intensity of the outer margin (pixels at distance &gt; 26 from the center of the 64x64 crop).</w:t>
      </w:r>
    </w:p>
    <w:p>
      <w:pPr>
        <w:pStyle w:val="ListBullet"/>
      </w:pPr>
      <w:r>
        <w:t>Adaptive State Decision: If both inner core mean and outer paper reference are very dark (&lt;50.0 intensity), the bubble is marked filled. Otherwise, contrast difference (local_paper - mean_inner) is calculated. If contrast_diff &gt;= 35.0 or relative contrast (contrast_diff / local_paper) &gt;= 0.16, it is classified as FILLED. If contrast_diff &lt;= 18.0 or relative contrast &lt;= 0.08, it is classified as EMPTY. Values in between are labeled AMBIGUOUS (manual review required). If an inner core standard deviation is &gt;= 28.0, it is also flagged as AMBIGUOUS to catch uneven strokes.</w:t>
      </w:r>
    </w:p>
    <w:p>
      <w:pPr>
        <w:pStyle w:val="Heading2"/>
        <w:keepNext/>
        <w:spacing w:before="240" w:after="120"/>
      </w:pPr>
      <w:r>
        <w:rPr>
          <w:rFonts w:ascii="Segoe UI" w:hAnsi="Segoe UI"/>
          <w:b/>
          <w:color w:val="4A779D"/>
          <w:sz w:val="28"/>
        </w:rPr>
        <w:t>2.4 Handwritten USN Extraction (core/usn_extraction.py)</w:t>
      </w:r>
    </w:p>
    <w:p>
      <w:r>
        <w:t>Reading handwritten academic seat numbers is notoriously challenging for standard OCR packages. The Vision OMR System addresses this through a robust alphanumeric extraction pipeline:</w:t>
      </w:r>
    </w:p>
    <w:p>
      <w:pPr>
        <w:pStyle w:val="ListBullet"/>
      </w:pPr>
      <w:r>
        <w:t>Cropping &amp; Prep: The bounding box classified as 'usn' is cropped (retaining the left 42% corresponding to the handwritten portion, discarding printed text headers). The crop is scaled 2.0x/3.0x and processed using CLAHE adaptive thresholding.</w:t>
      </w:r>
    </w:p>
    <w:p>
      <w:pPr>
        <w:pStyle w:val="ListBullet"/>
      </w:pPr>
      <w:r>
        <w:t>OCR Whitelisting: EasyOCR is invoked with a strict character whitelist ('ABCDEFGHIJKLMNOPQRSTUVWXYZ0123456789') to prevent dictionary correction from modifying academic seat codes.</w:t>
      </w:r>
    </w:p>
    <w:p>
      <w:pPr>
        <w:pStyle w:val="ListBullet"/>
      </w:pPr>
      <w:r>
        <w:t>Structural VTU Correction: Codes are parsed using a Visvesvaraya Technological University (VTU) structural regular expression. The structure matches: &lt;Region:1digit&gt;&lt;College:2letters&gt;&lt;Year:2digits&gt;&lt;Branch:2letters&gt;&lt;Roll:3-4digits&gt;. The script substitutes common OCR character confusions based on index (e.g. 'O'/'D' to '0' and 'I'/'L' to '1' in digit-designated segments, or '0' to 'O' and '1' to 'I' in alphabetical segments). Branch codes are resolved against a validated branch set (e.g. CS, IS, EC, EE, ME).</w:t>
      </w:r>
    </w:p>
    <w:p>
      <w:pPr>
        <w:pStyle w:val="ListBullet"/>
      </w:pPr>
      <w:r>
        <w:t>2-Stage Consensus: A fast 2.0x scale pass runs first. If it yields a high-confidence USN starting with '4VV' of length 9-11, it exits. Otherwise, it falls back to a 3.0x scale pass and ranks candidates based on prefix and length criteria.</w:t>
      </w:r>
    </w:p>
    <w:p>
      <w:pPr>
        <w:pStyle w:val="Heading2"/>
        <w:keepNext/>
        <w:spacing w:before="240" w:after="120"/>
      </w:pPr>
      <w:r>
        <w:rPr>
          <w:rFonts w:ascii="Segoe UI" w:hAnsi="Segoe UI"/>
          <w:b/>
          <w:color w:val="4A779D"/>
          <w:sz w:val="28"/>
        </w:rPr>
        <w:t>2.5 Spatial Grid Mapping &amp; Scoring Engine (core/scoring.py)</w:t>
      </w:r>
    </w:p>
    <w:p>
      <w:r>
        <w:t>Once individual bubbles are classified, they are assembled into a logical exam matrix (question_number vs option_letter) using coordinate heuristics:</w:t>
      </w:r>
    </w:p>
    <w:p>
      <w:pPr>
        <w:pStyle w:val="ListBullet"/>
      </w:pPr>
      <w:r>
        <w:t>Y-filtering: Bubbles appearing above the USN box bottom coordinate are discarded as header noise.</w:t>
      </w:r>
    </w:p>
    <w:p>
      <w:pPr>
        <w:pStyle w:val="ListBullet"/>
      </w:pPr>
      <w:r>
        <w:t>Column Splitting: Bubbles are sorted by x-coordinate and divided into N column blocks (configured in SheetLayout).</w:t>
      </w:r>
    </w:p>
    <w:p>
      <w:pPr>
        <w:pStyle w:val="ListBullet"/>
      </w:pPr>
      <w:r>
        <w:t>Y-Clustering (Row Assembly): In each column, bubbles with y-coordinates within a 15-pixel threshold are grouped into a row.</w:t>
      </w:r>
    </w:p>
    <w:p>
      <w:pPr>
        <w:pStyle w:val="ListBullet"/>
      </w:pPr>
      <w:r>
        <w:t>Outlier Row Rejection: The spacing between successive rows is calculated. A vertical gap &gt; 85px denotes a desk surface split or sheet cutoff; the smaller partition is discarded, retaining the main grid.</w:t>
      </w:r>
    </w:p>
    <w:p>
      <w:pPr>
        <w:pStyle w:val="ListBullet"/>
      </w:pPr>
      <w:r>
        <w:t>Scoring: Bubbles in each row are sorted left-to-right and mapped to options (e.g. A, B, C, D). If an option is marked FILLED, it is added to the marked list. Results are compared with the answer key to produce QuestionResult structures (CORRECT, INCORRECT, UNANSWERED, MULTIPLE_MARKED, AMBIGUOUS).</w:t>
      </w:r>
    </w:p>
    <w:p>
      <w:pPr>
        <w:pStyle w:val="Heading1"/>
        <w:keepNext/>
        <w:spacing w:before="240" w:after="120"/>
      </w:pPr>
      <w:r>
        <w:rPr>
          <w:rFonts w:ascii="Segoe UI" w:hAnsi="Segoe UI"/>
          <w:b/>
          <w:color w:val="1B365D"/>
          <w:sz w:val="36"/>
        </w:rPr>
        <w:t>3. Data Gateway &amp; Relational Database Design</w:t>
      </w:r>
    </w:p>
    <w:p>
      <w:r>
        <w:t>The Node.js Express Gateway integrates the frontend components with the backend model. It is designed to expose REST APIs, proxy requests to FastAPI, handle file streaming, and persist evaluation records.</w:t>
      </w:r>
    </w:p>
    <w:p>
      <w:pPr>
        <w:pStyle w:val="Heading2"/>
        <w:keepNext/>
        <w:spacing w:before="240" w:after="120"/>
      </w:pPr>
      <w:r>
        <w:rPr>
          <w:rFonts w:ascii="Segoe UI" w:hAnsi="Segoe UI"/>
          <w:b/>
          <w:color w:val="4A779D"/>
          <w:sz w:val="28"/>
        </w:rPr>
        <w:t>3.1 Database Migration Schema (PostgreSQL)</w:t>
      </w:r>
    </w:p>
    <w:p>
      <w:r>
        <w:t>The relational database schema is structured across three SQL migrations to record evaluation sessions, student scores, and handle attendance records:</w:t>
      </w:r>
    </w:p>
    <w:p>
      <w:r>
        <w:rPr>
          <w:b/>
          <w:color w:val="1B365D"/>
        </w:rPr>
        <w:t>Table 1: evaluations</w:t>
        <w:br/>
      </w:r>
      <w:r>
        <w:t>Used for persisting every individual sheet evaluation. Stored fields:</w:t>
        <w:br/>
        <w:t>• id (SERIAL PRIMARY KEY)</w:t>
        <w:br/>
        <w:t>• student_id (VARCHAR(20)) - Extracted USN</w:t>
        <w:br/>
        <w:t>• session_id (VARCHAR(50)) - Exam session identifier</w:t>
        <w:br/>
        <w:t>• filled_count, empty_count, ambiguous_count (INTEGER)</w:t>
        <w:br/>
        <w:t>• needs_manual_review (BOOLEAN)</w:t>
        <w:br/>
        <w:t>• bubbles (JSONB) - Holds full coordinates and states for all bubbles</w:t>
        <w:br/>
        <w:t>• processing_time_ms (INTEGER)</w:t>
        <w:br/>
        <w:t>• created_at (TIMESTAMPTZ)</w:t>
      </w:r>
    </w:p>
    <w:p>
      <w:r>
        <w:rPr>
          <w:b/>
          <w:color w:val="1B365D"/>
        </w:rPr>
        <w:t>Table 2: exam_sessions</w:t>
        <w:br/>
      </w:r>
      <w:r>
        <w:t>Stores high-level session configurations:</w:t>
        <w:br/>
        <w:t>• id (VARCHAR(50) PRIMARY KEY)</w:t>
        <w:br/>
        <w:t>• subject (VARCHAR(100))</w:t>
        <w:br/>
        <w:t>• section (VARCHAR(20))</w:t>
        <w:br/>
        <w:t>• exam_date (DATE)</w:t>
        <w:br/>
        <w:t>• total_questions (INTEGER)</w:t>
        <w:br/>
        <w:t>• expected_students (INTEGER)</w:t>
        <w:br/>
        <w:t>• created_at (TIMESTAMPTZ)</w:t>
      </w:r>
    </w:p>
    <w:p>
      <w:r>
        <w:rPr>
          <w:b/>
          <w:color w:val="1B365D"/>
        </w:rPr>
        <w:t>Table 3: student_results</w:t>
        <w:br/>
      </w:r>
      <w:r>
        <w:t>Saves the finalized, graded results for students in specific sessions:</w:t>
        <w:br/>
        <w:t>• id (SERIAL PRIMARY KEY)</w:t>
        <w:br/>
        <w:t>• session_id (VARCHAR(50) REFERENCES exam_sessions(id))</w:t>
        <w:br/>
        <w:t>• usn (VARCHAR(20))</w:t>
        <w:br/>
        <w:t>• score (INTEGER)</w:t>
        <w:br/>
        <w:t>• total (INTEGER)</w:t>
        <w:br/>
        <w:t>• correct, incorrect, unanswered, multiple_marked (INTEGER)</w:t>
        <w:br/>
        <w:t>• score_percent (NUMERIC(5,2))</w:t>
        <w:br/>
        <w:t>• per_question (JSONB) - Detailed grade list per question</w:t>
        <w:br/>
        <w:t>• status (VARCHAR(20) - PRESENT / ABSENT)</w:t>
        <w:br/>
        <w:t>• created_at (TIMESTAMPTZ)</w:t>
      </w:r>
    </w:p>
    <w:p>
      <w:pPr>
        <w:pStyle w:val="Heading2"/>
        <w:keepNext/>
        <w:spacing w:before="240" w:after="120"/>
      </w:pPr>
      <w:r>
        <w:rPr>
          <w:rFonts w:ascii="Segoe UI" w:hAnsi="Segoe UI"/>
          <w:b/>
          <w:color w:val="4A779D"/>
          <w:sz w:val="28"/>
        </w:rPr>
        <w:t>3.2 Gateway Express Endpoints API</w:t>
      </w:r>
    </w:p>
    <w:p>
      <w:r>
        <w:t>The gateway exposes key API routes for client integration. The routes are summarised in the table below: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Mar>
              <w:top w:w="100" w:type="dxa"/>
              <w:bottom w:w="100" w:type="dxa"/>
              <w:left w:w="150" w:type="dxa"/>
              <w:right w:w="150" w:type="dxa"/>
            </w:tcMar>
          </w:tcPr>
          <w:p>
            <w:r>
              <w:rPr>
                <w:b/>
                <w:color w:val="FFFFFF"/>
              </w:rPr>
              <w:t>Method &amp; Path</w:t>
            </w:r>
          </w:p>
        </w:tc>
        <w:tc>
          <w:tcPr>
            <w:tcW w:type="dxa" w:w="3120"/>
            <w:shd w:val="clear" w:color="auto" w:fill="1B365D"/>
            <w:tcMar>
              <w:top w:w="100" w:type="dxa"/>
              <w:bottom w:w="100" w:type="dxa"/>
              <w:left w:w="150" w:type="dxa"/>
              <w:right w:w="150" w:type="dxa"/>
            </w:tcMar>
          </w:tcPr>
          <w:p>
            <w:r>
              <w:rPr>
                <w:b/>
                <w:color w:val="FFFFFF"/>
              </w:rPr>
              <w:t>Parameters / Payload</w:t>
            </w:r>
          </w:p>
        </w:tc>
        <w:tc>
          <w:tcPr>
            <w:tcW w:type="dxa" w:w="3120"/>
            <w:shd w:val="clear" w:color="auto" w:fill="1B365D"/>
            <w:tcMar>
              <w:top w:w="100" w:type="dxa"/>
              <w:bottom w:w="100" w:type="dxa"/>
              <w:left w:w="150" w:type="dxa"/>
              <w:right w:w="150" w:type="dxa"/>
            </w:tcMar>
          </w:tcPr>
          <w:p>
            <w:r>
              <w:rPr>
                <w:b/>
                <w:color w:val="FFFFFF"/>
              </w:rPr>
              <w:t>Description</w:t>
            </w:r>
          </w:p>
        </w:tc>
      </w:tr>
      <w:tr>
        <w:tc>
          <w:tcPr>
            <w:tcW w:type="dxa" w:w="3120"/>
            <w:tcMar>
              <w:top w:w="100" w:type="dxa"/>
              <w:bottom w:w="100" w:type="dxa"/>
              <w:left w:w="150" w:type="dxa"/>
              <w:right w:w="150" w:type="dxa"/>
            </w:tcMar>
            <w:shd w:val="clear" w:color="auto" w:fill="F2F5F8"/>
          </w:tcPr>
          <w:p>
            <w:r>
              <w:rPr>
                <w:sz w:val="19"/>
              </w:rPr>
              <w:t>POST /api/evaluate</w:t>
            </w:r>
          </w:p>
        </w:tc>
        <w:tc>
          <w:tcPr>
            <w:tcW w:type="dxa" w:w="3120"/>
            <w:tcMar>
              <w:top w:w="100" w:type="dxa"/>
              <w:bottom w:w="100" w:type="dxa"/>
              <w:left w:w="150" w:type="dxa"/>
              <w:right w:w="150" w:type="dxa"/>
            </w:tcMar>
            <w:shd w:val="clear" w:color="auto" w:fill="F2F5F8"/>
          </w:tcPr>
          <w:p>
            <w:r>
              <w:rPr>
                <w:sz w:val="19"/>
              </w:rPr>
              <w:t>file (multipart)</w:t>
            </w:r>
          </w:p>
        </w:tc>
        <w:tc>
          <w:tcPr>
            <w:tcW w:type="dxa" w:w="3120"/>
            <w:tcMar>
              <w:top w:w="100" w:type="dxa"/>
              <w:bottom w:w="100" w:type="dxa"/>
              <w:left w:w="150" w:type="dxa"/>
              <w:right w:w="150" w:type="dxa"/>
            </w:tcMar>
            <w:shd w:val="clear" w:color="auto" w:fill="F2F5F8"/>
          </w:tcPr>
          <w:p>
            <w:r>
              <w:rPr>
                <w:sz w:val="19"/>
              </w:rPr>
              <w:t>Proxies image to FastAPI /evaluate. Returns bubble states and OCR-extracted USN.</w:t>
            </w:r>
          </w:p>
        </w:tc>
      </w:tr>
      <w:tr>
        <w:tc>
          <w:tcPr>
            <w:tcW w:type="dxa" w:w="3120"/>
            <w:tcMar>
              <w:top w:w="100" w:type="dxa"/>
              <w:bottom w:w="100" w:type="dxa"/>
              <w:left w:w="150" w:type="dxa"/>
              <w:right w:w="150" w:type="dxa"/>
            </w:tcMar>
            <w:shd w:val="clear" w:color="auto" w:fill="F2F5F8"/>
          </w:tcPr>
          <w:p>
            <w:r>
              <w:rPr>
                <w:sz w:val="19"/>
              </w:rPr>
              <w:t>POST /api/submit</w:t>
            </w:r>
          </w:p>
        </w:tc>
        <w:tc>
          <w:tcPr>
            <w:tcW w:type="dxa" w:w="3120"/>
            <w:tcMar>
              <w:top w:w="100" w:type="dxa"/>
              <w:bottom w:w="100" w:type="dxa"/>
              <w:left w:w="150" w:type="dxa"/>
              <w:right w:w="150" w:type="dxa"/>
            </w:tcMar>
            <w:shd w:val="clear" w:color="auto" w:fill="F2F5F8"/>
          </w:tcPr>
          <w:p>
            <w:r>
              <w:rPr>
                <w:sz w:val="19"/>
              </w:rPr>
              <w:t>student_id, session_id, counts, bubbles (JSON)</w:t>
            </w:r>
          </w:p>
        </w:tc>
        <w:tc>
          <w:tcPr>
            <w:tcW w:type="dxa" w:w="3120"/>
            <w:tcMar>
              <w:top w:w="100" w:type="dxa"/>
              <w:bottom w:w="100" w:type="dxa"/>
              <w:left w:w="150" w:type="dxa"/>
              <w:right w:w="150" w:type="dxa"/>
            </w:tcMar>
            <w:shd w:val="clear" w:color="auto" w:fill="F2F5F8"/>
          </w:tcPr>
          <w:p>
            <w:r>
              <w:rPr>
                <w:sz w:val="19"/>
              </w:rPr>
              <w:t>Persists sheet evaluation results in the evaluations table.</w:t>
            </w:r>
          </w:p>
        </w:tc>
      </w:tr>
      <w:tr>
        <w:tc>
          <w:tcPr>
            <w:tcW w:type="dxa" w:w="3120"/>
            <w:tcMar>
              <w:top w:w="100" w:type="dxa"/>
              <w:bottom w:w="100" w:type="dxa"/>
              <w:left w:w="150" w:type="dxa"/>
              <w:right w:w="150" w:type="dxa"/>
            </w:tcMar>
            <w:shd w:val="clear" w:color="auto" w:fill="F2F5F8"/>
          </w:tcPr>
          <w:p>
            <w:r>
              <w:rPr>
                <w:sz w:val="19"/>
              </w:rPr>
              <w:t>GET /api/history</w:t>
            </w:r>
          </w:p>
        </w:tc>
        <w:tc>
          <w:tcPr>
            <w:tcW w:type="dxa" w:w="3120"/>
            <w:tcMar>
              <w:top w:w="100" w:type="dxa"/>
              <w:bottom w:w="100" w:type="dxa"/>
              <w:left w:w="150" w:type="dxa"/>
              <w:right w:w="150" w:type="dxa"/>
            </w:tcMar>
            <w:shd w:val="clear" w:color="auto" w:fill="F2F5F8"/>
          </w:tcPr>
          <w:p>
            <w:r>
              <w:rPr>
                <w:sz w:val="19"/>
              </w:rPr>
              <w:t>None</w:t>
            </w:r>
          </w:p>
        </w:tc>
        <w:tc>
          <w:tcPr>
            <w:tcW w:type="dxa" w:w="3120"/>
            <w:tcMar>
              <w:top w:w="100" w:type="dxa"/>
              <w:bottom w:w="100" w:type="dxa"/>
              <w:left w:w="150" w:type="dxa"/>
              <w:right w:w="150" w:type="dxa"/>
            </w:tcMar>
            <w:shd w:val="clear" w:color="auto" w:fill="F2F5F8"/>
          </w:tcPr>
          <w:p>
            <w:r>
              <w:rPr>
                <w:sz w:val="19"/>
              </w:rPr>
              <w:t>Retrieves historical database entries from evaluations.</w:t>
            </w:r>
          </w:p>
        </w:tc>
      </w:tr>
      <w:tr>
        <w:tc>
          <w:tcPr>
            <w:tcW w:type="dxa" w:w="3120"/>
            <w:tcMar>
              <w:top w:w="100" w:type="dxa"/>
              <w:bottom w:w="100" w:type="dxa"/>
              <w:left w:w="150" w:type="dxa"/>
              <w:right w:w="150" w:type="dxa"/>
            </w:tcMar>
            <w:shd w:val="clear" w:color="auto" w:fill="F2F5F8"/>
          </w:tcPr>
          <w:p>
            <w:r>
              <w:rPr>
                <w:sz w:val="19"/>
              </w:rPr>
              <w:t>POST /api/sessions</w:t>
            </w:r>
          </w:p>
        </w:tc>
        <w:tc>
          <w:tcPr>
            <w:tcW w:type="dxa" w:w="3120"/>
            <w:tcMar>
              <w:top w:w="100" w:type="dxa"/>
              <w:bottom w:w="100" w:type="dxa"/>
              <w:left w:w="150" w:type="dxa"/>
              <w:right w:w="150" w:type="dxa"/>
            </w:tcMar>
            <w:shd w:val="clear" w:color="auto" w:fill="F2F5F8"/>
          </w:tcPr>
          <w:p>
            <w:r>
              <w:rPr>
                <w:sz w:val="19"/>
              </w:rPr>
              <w:t>id, subject, section, total_questions, expected_students</w:t>
            </w:r>
          </w:p>
        </w:tc>
        <w:tc>
          <w:tcPr>
            <w:tcW w:type="dxa" w:w="3120"/>
            <w:tcMar>
              <w:top w:w="100" w:type="dxa"/>
              <w:bottom w:w="100" w:type="dxa"/>
              <w:left w:w="150" w:type="dxa"/>
              <w:right w:w="150" w:type="dxa"/>
            </w:tcMar>
            <w:shd w:val="clear" w:color="auto" w:fill="F2F5F8"/>
          </w:tcPr>
          <w:p>
            <w:r>
              <w:rPr>
                <w:sz w:val="19"/>
              </w:rPr>
              <w:t>Registers a new exam session in exam_sessions.</w:t>
            </w:r>
          </w:p>
        </w:tc>
      </w:tr>
      <w:tr>
        <w:tc>
          <w:tcPr>
            <w:tcW w:type="dxa" w:w="3120"/>
            <w:tcMar>
              <w:top w:w="100" w:type="dxa"/>
              <w:bottom w:w="100" w:type="dxa"/>
              <w:left w:w="150" w:type="dxa"/>
              <w:right w:w="150" w:type="dxa"/>
            </w:tcMar>
            <w:shd w:val="clear" w:color="auto" w:fill="F2F5F8"/>
          </w:tcPr>
          <w:p>
            <w:r>
              <w:rPr>
                <w:sz w:val="19"/>
              </w:rPr>
              <w:t>POST /api/results</w:t>
            </w:r>
          </w:p>
        </w:tc>
        <w:tc>
          <w:tcPr>
            <w:tcW w:type="dxa" w:w="3120"/>
            <w:tcMar>
              <w:top w:w="100" w:type="dxa"/>
              <w:bottom w:w="100" w:type="dxa"/>
              <w:left w:w="150" w:type="dxa"/>
              <w:right w:w="150" w:type="dxa"/>
            </w:tcMar>
            <w:shd w:val="clear" w:color="auto" w:fill="F2F5F8"/>
          </w:tcPr>
          <w:p>
            <w:r>
              <w:rPr>
                <w:sz w:val="19"/>
              </w:rPr>
              <w:t>session_id, usn, score, correct, incorrect, per_question</w:t>
            </w:r>
          </w:p>
        </w:tc>
        <w:tc>
          <w:tcPr>
            <w:tcW w:type="dxa" w:w="3120"/>
            <w:tcMar>
              <w:top w:w="100" w:type="dxa"/>
              <w:bottom w:w="100" w:type="dxa"/>
              <w:left w:w="150" w:type="dxa"/>
              <w:right w:w="150" w:type="dxa"/>
            </w:tcMar>
            <w:shd w:val="clear" w:color="auto" w:fill="F2F5F8"/>
          </w:tcPr>
          <w:p>
            <w:r>
              <w:rPr>
                <w:sz w:val="19"/>
              </w:rPr>
              <w:t>Persists student marks and question breakdown in student_results.</w:t>
            </w:r>
          </w:p>
        </w:tc>
      </w:tr>
      <w:tr>
        <w:tc>
          <w:tcPr>
            <w:tcW w:type="dxa" w:w="3120"/>
            <w:tcMar>
              <w:top w:w="100" w:type="dxa"/>
              <w:bottom w:w="100" w:type="dxa"/>
              <w:left w:w="150" w:type="dxa"/>
              <w:right w:w="150" w:type="dxa"/>
            </w:tcMar>
            <w:shd w:val="clear" w:color="auto" w:fill="F2F5F8"/>
          </w:tcPr>
          <w:p>
            <w:r>
              <w:rPr>
                <w:sz w:val="19"/>
              </w:rPr>
              <w:t>POST /api/v1/evaluate</w:t>
            </w:r>
          </w:p>
        </w:tc>
        <w:tc>
          <w:tcPr>
            <w:tcW w:type="dxa" w:w="3120"/>
            <w:tcMar>
              <w:top w:w="100" w:type="dxa"/>
              <w:bottom w:w="100" w:type="dxa"/>
              <w:left w:w="150" w:type="dxa"/>
              <w:right w:w="150" w:type="dxa"/>
            </w:tcMar>
            <w:shd w:val="clear" w:color="auto" w:fill="F2F5F8"/>
          </w:tcPr>
          <w:p>
            <w:r>
              <w:rPr>
                <w:sz w:val="19"/>
              </w:rPr>
              <w:t>files (multiple files / PDF), session_id, layout parameters</w:t>
            </w:r>
          </w:p>
        </w:tc>
        <w:tc>
          <w:tcPr>
            <w:tcW w:type="dxa" w:w="3120"/>
            <w:tcMar>
              <w:top w:w="100" w:type="dxa"/>
              <w:bottom w:w="100" w:type="dxa"/>
              <w:left w:w="150" w:type="dxa"/>
              <w:right w:w="150" w:type="dxa"/>
            </w:tcMar>
            <w:shd w:val="clear" w:color="auto" w:fill="F2F5F8"/>
          </w:tcPr>
          <w:p>
            <w:r>
              <w:rPr>
                <w:sz w:val="19"/>
              </w:rPr>
              <w:t>Async Batch evaluation. Handles PDF parsing into pages and queues jobs.</w:t>
            </w:r>
          </w:p>
        </w:tc>
      </w:tr>
      <w:tr>
        <w:tc>
          <w:tcPr>
            <w:tcW w:type="dxa" w:w="3120"/>
            <w:tcMar>
              <w:top w:w="100" w:type="dxa"/>
              <w:bottom w:w="100" w:type="dxa"/>
              <w:left w:w="150" w:type="dxa"/>
              <w:right w:w="150" w:type="dxa"/>
            </w:tcMar>
            <w:shd w:val="clear" w:color="auto" w:fill="F2F5F8"/>
          </w:tcPr>
          <w:p>
            <w:r>
              <w:rPr>
                <w:sz w:val="19"/>
              </w:rPr>
              <w:t>GET /api/v1/tasks/:taskId</w:t>
            </w:r>
          </w:p>
        </w:tc>
        <w:tc>
          <w:tcPr>
            <w:tcW w:type="dxa" w:w="3120"/>
            <w:tcMar>
              <w:top w:w="100" w:type="dxa"/>
              <w:bottom w:w="100" w:type="dxa"/>
              <w:left w:w="150" w:type="dxa"/>
              <w:right w:w="150" w:type="dxa"/>
            </w:tcMar>
            <w:shd w:val="clear" w:color="auto" w:fill="F2F5F8"/>
          </w:tcPr>
          <w:p>
            <w:r>
              <w:rPr>
                <w:sz w:val="19"/>
              </w:rPr>
              <w:t>taskId (path)</w:t>
            </w:r>
          </w:p>
        </w:tc>
        <w:tc>
          <w:tcPr>
            <w:tcW w:type="dxa" w:w="3120"/>
            <w:tcMar>
              <w:top w:w="100" w:type="dxa"/>
              <w:bottom w:w="100" w:type="dxa"/>
              <w:left w:w="150" w:type="dxa"/>
              <w:right w:w="150" w:type="dxa"/>
            </w:tcMar>
            <w:shd w:val="clear" w:color="auto" w:fill="F2F5F8"/>
          </w:tcPr>
          <w:p>
            <w:r>
              <w:rPr>
                <w:sz w:val="19"/>
              </w:rPr>
              <w:t>Retrieves progress status and results of async batch evaluation.</w:t>
            </w:r>
          </w:p>
        </w:tc>
      </w:tr>
      <w:tr>
        <w:tc>
          <w:tcPr>
            <w:tcW w:type="dxa" w:w="3120"/>
            <w:tcMar>
              <w:top w:w="100" w:type="dxa"/>
              <w:bottom w:w="100" w:type="dxa"/>
              <w:left w:w="150" w:type="dxa"/>
              <w:right w:w="150" w:type="dxa"/>
            </w:tcMar>
            <w:shd w:val="clear" w:color="auto" w:fill="F2F5F8"/>
          </w:tcPr>
          <w:p>
            <w:r>
              <w:rPr>
                <w:sz w:val="19"/>
              </w:rPr>
              <w:t>GET /api/reports/download/:sessionId</w:t>
            </w:r>
          </w:p>
        </w:tc>
        <w:tc>
          <w:tcPr>
            <w:tcW w:type="dxa" w:w="3120"/>
            <w:tcMar>
              <w:top w:w="100" w:type="dxa"/>
              <w:bottom w:w="100" w:type="dxa"/>
              <w:left w:w="150" w:type="dxa"/>
              <w:right w:w="150" w:type="dxa"/>
            </w:tcMar>
            <w:shd w:val="clear" w:color="auto" w:fill="F2F5F8"/>
          </w:tcPr>
          <w:p>
            <w:r>
              <w:rPr>
                <w:sz w:val="19"/>
              </w:rPr>
              <w:t>sessionId (path)</w:t>
            </w:r>
          </w:p>
        </w:tc>
        <w:tc>
          <w:tcPr>
            <w:tcW w:type="dxa" w:w="3120"/>
            <w:tcMar>
              <w:top w:w="100" w:type="dxa"/>
              <w:bottom w:w="100" w:type="dxa"/>
              <w:left w:w="150" w:type="dxa"/>
              <w:right w:w="150" w:type="dxa"/>
            </w:tcMar>
            <w:shd w:val="clear" w:color="auto" w:fill="F2F5F8"/>
          </w:tcPr>
          <w:p>
            <w:r>
              <w:rPr>
                <w:sz w:val="19"/>
              </w:rPr>
              <w:t>Compiles the results of a session into a CSV and triggers file download.</w:t>
            </w:r>
          </w:p>
        </w:tc>
      </w:tr>
    </w:tbl>
    <w:p>
      <w:pPr>
        <w:spacing w:before="240"/>
      </w:pPr>
    </w:p>
    <w:p>
      <w:pPr>
        <w:pStyle w:val="Heading1"/>
        <w:keepNext/>
        <w:spacing w:before="240" w:after="120"/>
      </w:pPr>
      <w:r>
        <w:rPr>
          <w:rFonts w:ascii="Segoe UI" w:hAnsi="Segoe UI"/>
          <w:b/>
          <w:color w:val="1B365D"/>
          <w:sz w:val="36"/>
        </w:rPr>
        <w:t>4. Mobile Client &amp; Testing Dashboard</w:t>
      </w:r>
    </w:p>
    <w:p>
      <w:r>
        <w:t>The user-facing ecosystem comprises two clients: a React Native mobile application for on-site camera scanning, and a web-based testing dashboard for visual pipeline debugging.</w:t>
      </w:r>
    </w:p>
    <w:p>
      <w:pPr>
        <w:pStyle w:val="Heading2"/>
        <w:keepNext/>
        <w:spacing w:before="240" w:after="120"/>
      </w:pPr>
      <w:r>
        <w:rPr>
          <w:rFonts w:ascii="Segoe UI" w:hAnsi="Segoe UI"/>
          <w:b/>
          <w:color w:val="4A779D"/>
          <w:sz w:val="28"/>
        </w:rPr>
        <w:t>4.1 React Native Mobile Client</w:t>
      </w:r>
    </w:p>
    <w:p>
      <w:r>
        <w:t>Built using React Native, the mobile client is structured as follows:</w:t>
        <w:br/>
        <w:t>• CameraScanner.jsx: Utilizes react-native-vision-camera. Renders an absolute camera viewport with a styled bounding-box overlay. Once a sheet border is aligned, the frame is captured and transmitted to /api/evaluate.</w:t>
        <w:br/>
        <w:t>• ResultsModal.jsx: Renders a scrollable pop-up overlay showing the extracted USN, filled counts, and manual overrides. If any bubble is flagged as 'ambiguous', it is highlighted in amber, allowing the user to select the correct choice before submitting.</w:t>
      </w:r>
    </w:p>
    <w:p>
      <w:pPr>
        <w:pStyle w:val="Heading2"/>
        <w:keepNext/>
        <w:spacing w:before="240" w:after="120"/>
      </w:pPr>
      <w:r>
        <w:rPr>
          <w:rFonts w:ascii="Segoe UI" w:hAnsi="Segoe UI"/>
          <w:b/>
          <w:color w:val="4A779D"/>
          <w:sz w:val="28"/>
        </w:rPr>
        <w:t>4.2 Web Testing Dashboard (docs/index.html)</w:t>
      </w:r>
    </w:p>
    <w:p>
      <w:r>
        <w:t>An HTML/JS testing dashboard is served by FastAPI at /dashboard. This utility allows developers to upload test sheets and visualize bounding boxes for 'filled', 'empty', 'ambiguous', and 'usn' regions. It enables real-time tuning of confidence and IoU parameters, showing processing latency breakdowns.</w:t>
      </w:r>
    </w:p>
    <w:p>
      <w:pPr>
        <w:pStyle w:val="Heading1"/>
        <w:keepNext/>
        <w:spacing w:before="240" w:after="120"/>
      </w:pPr>
      <w:r>
        <w:rPr>
          <w:rFonts w:ascii="Segoe UI" w:hAnsi="Segoe UI"/>
          <w:b/>
          <w:color w:val="1B365D"/>
          <w:sz w:val="36"/>
        </w:rPr>
        <w:t>5. Performance Benchmarks &amp; Model Specifications</w:t>
      </w:r>
    </w:p>
    <w:p>
      <w:r>
        <w:t>Performance testing was conducted on the Python FastAPI backend to evaluate processing latency. The benchmark results on standard mobile-captured test sheets are summarized below: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Mar>
              <w:top w:w="100" w:type="dxa"/>
              <w:bottom w:w="100" w:type="dxa"/>
              <w:left w:w="150" w:type="dxa"/>
              <w:right w:w="150" w:type="dxa"/>
            </w:tcMar>
          </w:tcPr>
          <w:p>
            <w:r>
              <w:rPr>
                <w:b/>
                <w:color w:val="FFFFFF"/>
              </w:rPr>
              <w:t>Pipeline Stage</w:t>
            </w:r>
          </w:p>
        </w:tc>
        <w:tc>
          <w:tcPr>
            <w:tcW w:type="dxa" w:w="3120"/>
            <w:shd w:val="clear" w:color="auto" w:fill="1B365D"/>
            <w:tcMar>
              <w:top w:w="100" w:type="dxa"/>
              <w:bottom w:w="100" w:type="dxa"/>
              <w:left w:w="150" w:type="dxa"/>
              <w:right w:w="150" w:type="dxa"/>
            </w:tcMar>
          </w:tcPr>
          <w:p>
            <w:r>
              <w:rPr>
                <w:b/>
                <w:color w:val="FFFFFF"/>
              </w:rPr>
              <w:t>Avg. Latency (s)</w:t>
            </w:r>
          </w:p>
        </w:tc>
        <w:tc>
          <w:tcPr>
            <w:tcW w:type="dxa" w:w="3120"/>
            <w:shd w:val="clear" w:color="auto" w:fill="1B365D"/>
            <w:tcMar>
              <w:top w:w="100" w:type="dxa"/>
              <w:bottom w:w="100" w:type="dxa"/>
              <w:left w:w="150" w:type="dxa"/>
              <w:right w:w="150" w:type="dxa"/>
            </w:tcMar>
          </w:tcPr>
          <w:p>
            <w:r>
              <w:rPr>
                <w:b/>
                <w:color w:val="FFFFFF"/>
              </w:rPr>
              <w:t>Technical Detail / Operation</w:t>
            </w:r>
          </w:p>
        </w:tc>
      </w:tr>
      <w:tr>
        <w:tc>
          <w:tcPr>
            <w:tcW w:type="dxa" w:w="3120"/>
            <w:tcMar>
              <w:top w:w="100" w:type="dxa"/>
              <w:bottom w:w="100" w:type="dxa"/>
              <w:left w:w="150" w:type="dxa"/>
              <w:right w:w="150" w:type="dxa"/>
            </w:tcMar>
            <w:shd w:val="clear" w:color="auto" w:fill="F2F5F8"/>
          </w:tcPr>
          <w:p>
            <w:r>
              <w:rPr>
                <w:sz w:val="19"/>
              </w:rPr>
              <w:t>1. Preprocessing</w:t>
            </w:r>
          </w:p>
        </w:tc>
        <w:tc>
          <w:tcPr>
            <w:tcW w:type="dxa" w:w="3120"/>
            <w:tcMar>
              <w:top w:w="100" w:type="dxa"/>
              <w:bottom w:w="100" w:type="dxa"/>
              <w:left w:w="150" w:type="dxa"/>
              <w:right w:w="150" w:type="dxa"/>
            </w:tcMar>
            <w:shd w:val="clear" w:color="auto" w:fill="F2F5F8"/>
          </w:tcPr>
          <w:p>
            <w:r>
              <w:rPr>
                <w:sz w:val="19"/>
              </w:rPr>
              <w:t>0.0450s</w:t>
            </w:r>
          </w:p>
        </w:tc>
        <w:tc>
          <w:tcPr>
            <w:tcW w:type="dxa" w:w="3120"/>
            <w:tcMar>
              <w:top w:w="100" w:type="dxa"/>
              <w:bottom w:w="100" w:type="dxa"/>
              <w:left w:w="150" w:type="dxa"/>
              <w:right w:w="150" w:type="dxa"/>
            </w:tcMar>
            <w:shd w:val="clear" w:color="auto" w:fill="F2F5F8"/>
          </w:tcPr>
          <w:p>
            <w:r>
              <w:rPr>
                <w:sz w:val="19"/>
              </w:rPr>
              <w:t>Upscaling, CLAHE Equalisation, Bilateral Denoising, Homography Warp</w:t>
            </w:r>
          </w:p>
        </w:tc>
      </w:tr>
      <w:tr>
        <w:tc>
          <w:tcPr>
            <w:tcW w:type="dxa" w:w="3120"/>
            <w:tcMar>
              <w:top w:w="100" w:type="dxa"/>
              <w:bottom w:w="100" w:type="dxa"/>
              <w:left w:w="150" w:type="dxa"/>
              <w:right w:w="150" w:type="dxa"/>
            </w:tcMar>
            <w:shd w:val="clear" w:color="auto" w:fill="F2F5F8"/>
          </w:tcPr>
          <w:p>
            <w:r>
              <w:rPr>
                <w:sz w:val="19"/>
              </w:rPr>
              <w:t>2. YOLOv8 Inference + NMS</w:t>
            </w:r>
          </w:p>
        </w:tc>
        <w:tc>
          <w:tcPr>
            <w:tcW w:type="dxa" w:w="3120"/>
            <w:tcMar>
              <w:top w:w="100" w:type="dxa"/>
              <w:bottom w:w="100" w:type="dxa"/>
              <w:left w:w="150" w:type="dxa"/>
              <w:right w:w="150" w:type="dxa"/>
            </w:tcMar>
            <w:shd w:val="clear" w:color="auto" w:fill="F2F5F8"/>
          </w:tcPr>
          <w:p>
            <w:r>
              <w:rPr>
                <w:sz w:val="19"/>
              </w:rPr>
              <w:t>0.1550s</w:t>
            </w:r>
          </w:p>
        </w:tc>
        <w:tc>
          <w:tcPr>
            <w:tcW w:type="dxa" w:w="3120"/>
            <w:tcMar>
              <w:top w:w="100" w:type="dxa"/>
              <w:bottom w:w="100" w:type="dxa"/>
              <w:left w:w="150" w:type="dxa"/>
              <w:right w:w="150" w:type="dxa"/>
            </w:tcMar>
            <w:shd w:val="clear" w:color="auto" w:fill="F2F5F8"/>
          </w:tcPr>
          <w:p>
            <w:r>
              <w:rPr>
                <w:sz w:val="19"/>
              </w:rPr>
              <w:t>Deep learning localization on 640x640 frame + custom class-aware NMS</w:t>
            </w:r>
          </w:p>
        </w:tc>
      </w:tr>
      <w:tr>
        <w:tc>
          <w:tcPr>
            <w:tcW w:type="dxa" w:w="3120"/>
            <w:tcMar>
              <w:top w:w="100" w:type="dxa"/>
              <w:bottom w:w="100" w:type="dxa"/>
              <w:left w:w="150" w:type="dxa"/>
              <w:right w:w="150" w:type="dxa"/>
            </w:tcMar>
            <w:shd w:val="clear" w:color="auto" w:fill="F2F5F8"/>
          </w:tcPr>
          <w:p>
            <w:r>
              <w:rPr>
                <w:sz w:val="19"/>
              </w:rPr>
              <w:t>3. USN OCR Extraction</w:t>
            </w:r>
          </w:p>
        </w:tc>
        <w:tc>
          <w:tcPr>
            <w:tcW w:type="dxa" w:w="3120"/>
            <w:tcMar>
              <w:top w:w="100" w:type="dxa"/>
              <w:bottom w:w="100" w:type="dxa"/>
              <w:left w:w="150" w:type="dxa"/>
              <w:right w:w="150" w:type="dxa"/>
            </w:tcMar>
            <w:shd w:val="clear" w:color="auto" w:fill="F2F5F8"/>
          </w:tcPr>
          <w:p>
            <w:r>
              <w:rPr>
                <w:sz w:val="19"/>
              </w:rPr>
              <w:t>2.1000s</w:t>
            </w:r>
          </w:p>
        </w:tc>
        <w:tc>
          <w:tcPr>
            <w:tcW w:type="dxa" w:w="3120"/>
            <w:tcMar>
              <w:top w:w="100" w:type="dxa"/>
              <w:bottom w:w="100" w:type="dxa"/>
              <w:left w:w="150" w:type="dxa"/>
              <w:right w:w="150" w:type="dxa"/>
            </w:tcMar>
            <w:shd w:val="clear" w:color="auto" w:fill="F2F5F8"/>
          </w:tcPr>
          <w:p>
            <w:r>
              <w:rPr>
                <w:sz w:val="19"/>
              </w:rPr>
              <w:t>EasyOCR alphanumeric whitelisting + VTU consensus correction (CPU)</w:t>
            </w:r>
          </w:p>
        </w:tc>
      </w:tr>
      <w:tr>
        <w:tc>
          <w:tcPr>
            <w:tcW w:type="dxa" w:w="3120"/>
            <w:tcMar>
              <w:top w:w="100" w:type="dxa"/>
              <w:bottom w:w="100" w:type="dxa"/>
              <w:left w:w="150" w:type="dxa"/>
              <w:right w:w="150" w:type="dxa"/>
            </w:tcMar>
            <w:shd w:val="clear" w:color="auto" w:fill="F2F5F8"/>
          </w:tcPr>
          <w:p>
            <w:r>
              <w:rPr>
                <w:sz w:val="19"/>
              </w:rPr>
              <w:t>4. Bubble Spot-Check</w:t>
            </w:r>
          </w:p>
        </w:tc>
        <w:tc>
          <w:tcPr>
            <w:tcW w:type="dxa" w:w="3120"/>
            <w:tcMar>
              <w:top w:w="100" w:type="dxa"/>
              <w:bottom w:w="100" w:type="dxa"/>
              <w:left w:w="150" w:type="dxa"/>
              <w:right w:w="150" w:type="dxa"/>
            </w:tcMar>
            <w:shd w:val="clear" w:color="auto" w:fill="F2F5F8"/>
          </w:tcPr>
          <w:p>
            <w:r>
              <w:rPr>
                <w:sz w:val="19"/>
              </w:rPr>
              <w:t>0.0820s</w:t>
            </w:r>
          </w:p>
        </w:tc>
        <w:tc>
          <w:tcPr>
            <w:tcW w:type="dxa" w:w="3120"/>
            <w:tcMar>
              <w:top w:w="100" w:type="dxa"/>
              <w:bottom w:w="100" w:type="dxa"/>
              <w:left w:w="150" w:type="dxa"/>
              <w:right w:w="150" w:type="dxa"/>
            </w:tcMar>
            <w:shd w:val="clear" w:color="auto" w:fill="F2F5F8"/>
          </w:tcPr>
          <w:p>
            <w:r>
              <w:rPr>
                <w:sz w:val="19"/>
              </w:rPr>
              <w:t>Batch 64x64 cropping, border-removal masking, and local paper contrast delta</w:t>
            </w:r>
          </w:p>
        </w:tc>
      </w:tr>
      <w:tr>
        <w:tc>
          <w:tcPr>
            <w:tcW w:type="dxa" w:w="3120"/>
            <w:tcMar>
              <w:top w:w="100" w:type="dxa"/>
              <w:bottom w:w="100" w:type="dxa"/>
              <w:left w:w="150" w:type="dxa"/>
              <w:right w:w="150" w:type="dxa"/>
            </w:tcMar>
            <w:shd w:val="clear" w:color="auto" w:fill="F2F5F8"/>
          </w:tcPr>
          <w:p>
            <w:r>
              <w:rPr>
                <w:sz w:val="19"/>
              </w:rPr>
              <w:t>5. Scoring / Mapping</w:t>
            </w:r>
          </w:p>
        </w:tc>
        <w:tc>
          <w:tcPr>
            <w:tcW w:type="dxa" w:w="3120"/>
            <w:tcMar>
              <w:top w:w="100" w:type="dxa"/>
              <w:bottom w:w="100" w:type="dxa"/>
              <w:left w:w="150" w:type="dxa"/>
              <w:right w:w="150" w:type="dxa"/>
            </w:tcMar>
            <w:shd w:val="clear" w:color="auto" w:fill="F2F5F8"/>
          </w:tcPr>
          <w:p>
            <w:r>
              <w:rPr>
                <w:sz w:val="19"/>
              </w:rPr>
              <w:t>0.0050s</w:t>
            </w:r>
          </w:p>
        </w:tc>
        <w:tc>
          <w:tcPr>
            <w:tcW w:type="dxa" w:w="3120"/>
            <w:tcMar>
              <w:top w:w="100" w:type="dxa"/>
              <w:bottom w:w="100" w:type="dxa"/>
              <w:left w:w="150" w:type="dxa"/>
              <w:right w:w="150" w:type="dxa"/>
            </w:tcMar>
            <w:shd w:val="clear" w:color="auto" w:fill="F2F5F8"/>
          </w:tcPr>
          <w:p>
            <w:r>
              <w:rPr>
                <w:sz w:val="19"/>
              </w:rPr>
              <w:t>Y-coordinate clustering, column division, outlier row thresholding, and answer-key grading</w:t>
            </w:r>
          </w:p>
        </w:tc>
      </w:tr>
      <w:tr>
        <w:tc>
          <w:tcPr>
            <w:tcW w:type="dxa" w:w="3120"/>
            <w:tcMar>
              <w:top w:w="100" w:type="dxa"/>
              <w:bottom w:w="100" w:type="dxa"/>
              <w:left w:w="150" w:type="dxa"/>
              <w:right w:w="150" w:type="dxa"/>
            </w:tcMar>
            <w:shd w:val="clear" w:color="auto" w:fill="F2F5F8"/>
          </w:tcPr>
          <w:p>
            <w:r>
              <w:rPr>
                <w:sz w:val="19"/>
              </w:rPr>
              <w:t>Total Pipeline Time (Warm)</w:t>
            </w:r>
          </w:p>
        </w:tc>
        <w:tc>
          <w:tcPr>
            <w:tcW w:type="dxa" w:w="3120"/>
            <w:tcMar>
              <w:top w:w="100" w:type="dxa"/>
              <w:bottom w:w="100" w:type="dxa"/>
              <w:left w:w="150" w:type="dxa"/>
              <w:right w:w="150" w:type="dxa"/>
            </w:tcMar>
            <w:shd w:val="clear" w:color="auto" w:fill="F2F5F8"/>
          </w:tcPr>
          <w:p>
            <w:r>
              <w:rPr>
                <w:sz w:val="19"/>
              </w:rPr>
              <w:t>2.3870s</w:t>
            </w:r>
          </w:p>
        </w:tc>
        <w:tc>
          <w:tcPr>
            <w:tcW w:type="dxa" w:w="3120"/>
            <w:tcMar>
              <w:top w:w="100" w:type="dxa"/>
              <w:bottom w:w="100" w:type="dxa"/>
              <w:left w:w="150" w:type="dxa"/>
              <w:right w:w="150" w:type="dxa"/>
            </w:tcMar>
            <w:shd w:val="clear" w:color="auto" w:fill="F2F5F8"/>
          </w:tcPr>
          <w:p>
            <w:r>
              <w:rPr>
                <w:sz w:val="19"/>
              </w:rPr>
              <w:t>End-to-end execution on CPU. Excluding OCR, CV processing takes &lt; 0.3s.</w:t>
            </w:r>
          </w:p>
        </w:tc>
      </w:tr>
    </w:tbl>
    <w:p>
      <w:pPr>
        <w:spacing w:before="240"/>
      </w:pPr>
    </w:p>
    <w:p>
      <w:pPr>
        <w:pStyle w:val="Heading1"/>
        <w:keepNext/>
        <w:spacing w:before="240" w:after="120"/>
      </w:pPr>
      <w:r>
        <w:rPr>
          <w:rFonts w:ascii="Segoe UI" w:hAnsi="Segoe UI"/>
          <w:b/>
          <w:color w:val="1B365D"/>
          <w:sz w:val="36"/>
        </w:rPr>
        <w:t>6. Conclusion</w:t>
      </w:r>
    </w:p>
    <w:p>
      <w:r>
        <w:t>The Vision OMR Evaluation Engine offers a portable, cost-effective alternative to hardware OMR systems. By combining a mobile client, database gateway, and a specialized AI pipeline, the system achieves reliable localization, classification, and grading. The use of YOLOv8-Nano enables dynamic bubble localization, while custom class-aware NMS, adaptive micro-classification, and OCR correction ensure high accuracy under varying conditions. This document serves as a complete technical guide for research paper formulation.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