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48"/>
          <w:szCs w:val="48"/>
        </w:rPr>
        <w:t xml:space="preserve">DATA COLLECTION &amp;</w:t>
      </w:r>
    </w:p>
    <w:p>
      <w:pPr>
        <w:spacing w:after="60"/>
        <w:jc w:val="center"/>
      </w:pPr>
      <w:r>
        <w:rPr>
          <w:b/>
          <w:bCs/>
          <w:color w:val="1F3864"/>
          <w:sz w:val="48"/>
          <w:szCs w:val="48"/>
        </w:rPr>
        <w:t xml:space="preserve">PREPROCESSING FRAMEWORK</w:t>
      </w:r>
    </w:p>
    <w:p>
      <w:pPr>
        <w:spacing w:after="400" w:before="200"/>
        <w:jc w:val="center"/>
      </w:pPr>
      <w:r>
        <w:rPr>
          <w:b/>
          <w:bCs/>
          <w:color w:val="2E75B6"/>
          <w:sz w:val="28"/>
          <w:szCs w:val="28"/>
        </w:rPr>
        <w:t xml:space="preserve">A Python-Based Pipeline for E-Governance &amp; Digital Services Data</w:t>
      </w:r>
    </w:p>
    <w:p>
      <w:pPr>
        <w:spacing w:after="60"/>
        <w:jc w:val="center"/>
      </w:pPr>
      <w:r>
        <w:rPr>
          <w:color w:val="595959"/>
          <w:sz w:val="24"/>
          <w:szCs w:val="24"/>
        </w:rPr>
        <w:t xml:space="preserve">Week 2 Deliverable — Data Collection &amp; Preprocessing Framework</w:t>
      </w:r>
    </w:p>
    <w:p>
      <w:pPr>
        <w:spacing w:after="40" w:before="800"/>
        <w:jc w:val="center"/>
      </w:pPr>
      <w:r>
        <w:rPr>
          <w:b/>
          <w:bCs/>
          <w:sz w:val="22"/>
          <w:szCs w:val="22"/>
        </w:rPr>
        <w:t xml:space="preserve">Prepared by: Smrutirekha Sahoo</w:t>
      </w:r>
    </w:p>
    <w:p>
      <w:pPr>
        <w:spacing w:after="40"/>
        <w:jc w:val="center"/>
      </w:pPr>
      <w:r>
        <w:rPr>
          <w:sz w:val="22"/>
          <w:szCs w:val="22"/>
        </w:rPr>
        <w:t xml:space="preserve">Data Analyst (SQL · Python · Power BI)</w:t>
      </w:r>
    </w:p>
    <w:p>
      <w:pPr>
        <w:spacing w:after="40"/>
        <w:jc w:val="center"/>
      </w:pPr>
      <w:r>
        <w:rPr>
          <w:sz w:val="22"/>
          <w:szCs w:val="22"/>
        </w:rPr>
        <w:t xml:space="preserve">MCA, Trident Academy of Technology, Bhubaneswar</w:t>
      </w:r>
    </w:p>
    <w:p>
      <w:pPr>
        <w:spacing w:before="400"/>
        <w:jc w:val="center"/>
      </w:pPr>
      <w:r>
        <w:rPr>
          <w:color w:val="595959"/>
          <w:sz w:val="22"/>
          <w:szCs w:val="22"/>
        </w:rPr>
        <w:t xml:space="preserve">August 2026</w:t>
      </w:r>
    </w:p>
    <w:p>
      <w:pPr>
        <w:sectPr>
          <w:pgSz w:w="11906" w:h="16838" w:orient="portrait"/>
          <w:pgMar w:top="1000" w:right="1100" w:bottom="1000" w:left="110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1. Executive Summary</w:t>
      </w:r>
    </w:p>
    <w:p>
      <w:pPr>
        <w:spacing w:after="160" w:line="300"/>
        <w:jc w:val="both"/>
      </w:pPr>
      <w:r>
        <w:rPr>
          <w:sz w:val="22"/>
          <w:szCs w:val="22"/>
        </w:rPr>
        <w:t xml:space="preserve">This report builds on the Week 1 strategic plan by designing a concrete, technically detailed framework for collecting and preprocessing public data relevant to e-governance and digital government services in India. It identifies a representative set of public datasets, defines a step-by-step data collection process (extraction method, format, and storage architecture), and specifies a Python-based preprocessing pipeline covering missing-value treatment, normalization, transformation, and validation.</w:t>
      </w:r>
    </w:p>
    <w:p>
      <w:pPr>
        <w:spacing w:after="160" w:line="300"/>
        <w:jc w:val="both"/>
      </w:pPr>
      <w:r>
        <w:rPr>
          <w:sz w:val="22"/>
          <w:szCs w:val="22"/>
        </w:rPr>
        <w:t xml:space="preserve">The framework is designed to be simulated and executed against real public sources such as data.gov.in, TRAI, MeitY dashboards, and Census/MoSPI, using pandas, NumPy, and scikit-learn as the core technical stack. The result is a reproducible pathway from raw, heterogeneous public data to a single clean, analysis-ready master dataset that will feed directly into Week 3's exploratory and statistical analysis.</w:t>
      </w:r>
    </w:p>
    <w:p>
      <w:pPr>
        <w:pStyle w:val="Heading1"/>
        <w:pBdr>
          <w:bottom w:val="single" w:color="2E75B6" w:sz="6" w:space="4"/>
        </w:pBdr>
        <w:spacing w:after="160" w:before="360"/>
      </w:pPr>
      <w:r>
        <w:rPr>
          <w:b/>
          <w:bCs/>
          <w:color w:val="1F3864"/>
          <w:sz w:val="30"/>
          <w:szCs w:val="30"/>
        </w:rPr>
        <w:t xml:space="preserve">2. Objective &amp; Scope</w:t>
      </w:r>
    </w:p>
    <w:p>
      <w:pPr>
        <w:spacing w:after="160" w:line="300"/>
        <w:jc w:val="both"/>
      </w:pPr>
      <w:r>
        <w:rPr>
          <w:sz w:val="22"/>
          <w:szCs w:val="22"/>
        </w:rPr>
        <w:t xml:space="preserve">The objective of this week's work is to design — and where representative, simulate — a data collection and preprocessing framework rather than to produce final analytical findings. Scope covers: identification of representative public datasets; a documented extraction and storage plan; a preprocessing pipeline addressing missing data, inconsistent types, duplicates, and scale differences across numeric fields; and a validation layer that catches structural and logical errors before data is marked analysis-ready. Statistical analysis, visualization, and dashboarding are explicitly out of scope for this week and are addressed in Weeks 3–5 of the strategic plan.</w:t>
      </w:r>
    </w:p>
    <w:p>
      <w:pPr>
        <w:pStyle w:val="Heading1"/>
        <w:pBdr>
          <w:bottom w:val="single" w:color="2E75B6" w:sz="6" w:space="4"/>
        </w:pBdr>
        <w:spacing w:after="160" w:before="360"/>
      </w:pPr>
      <w:r>
        <w:rPr>
          <w:b/>
          <w:bCs/>
          <w:color w:val="1F3864"/>
          <w:sz w:val="30"/>
          <w:szCs w:val="30"/>
        </w:rPr>
        <w:t xml:space="preserve">3. Identified Public Datasets &amp; Metadata</w:t>
      </w:r>
    </w:p>
    <w:p>
      <w:pPr>
        <w:spacing w:after="160" w:line="300"/>
        <w:jc w:val="both"/>
      </w:pPr>
      <w:r>
        <w:rPr>
          <w:sz w:val="22"/>
          <w:szCs w:val="22"/>
        </w:rPr>
        <w:t xml:space="preserve">The table below lists the datasets identified as representative of digital services and e-governance initiatives, selected to jointly cover service adoption, infrastructure, and demographic context — consistent with the data-needs categories established in Week 1. Each entry lists the associated metadata fields that will be preserved during extraction, since metadata (unit of observation, time granularity, source identifiers) is essential for correctly merging sources later.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1800"/>
        <w:gridCol w:w="1800"/>
      </w:tblGrid>
      <w:tr>
        <w:trPr>
          <w:tblHeader/>
        </w:trPr>
        <w:tc>
          <w:tcPr>
            <w:tcW w:type="dxa" w:w="2000"/>
            <w:shd w:fill="1F3864" w:val="clear"/>
            <w:tcMar>
              <w:top w:type="dxa" w:w="100"/>
              <w:left w:type="dxa" w:w="120"/>
              <w:bottom w:type="dxa" w:w="100"/>
              <w:right w:type="dxa" w:w="120"/>
            </w:tcMar>
            <w:vAlign w:val="center"/>
          </w:tcPr>
          <w:p>
            <w:r>
              <w:rPr>
                <w:b/>
                <w:bCs/>
                <w:color w:val="FFFFFF"/>
                <w:sz w:val="20"/>
                <w:szCs w:val="20"/>
              </w:rPr>
              <w:t xml:space="preserve">Dataset</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Source</w:t>
            </w:r>
          </w:p>
        </w:tc>
        <w:tc>
          <w:tcPr>
            <w:tcW w:type="dxa" w:w="1600"/>
            <w:shd w:fill="1F3864" w:val="clear"/>
            <w:tcMar>
              <w:top w:type="dxa" w:w="100"/>
              <w:left w:type="dxa" w:w="120"/>
              <w:bottom w:type="dxa" w:w="100"/>
              <w:right w:type="dxa" w:w="120"/>
            </w:tcMar>
            <w:vAlign w:val="center"/>
          </w:tcPr>
          <w:p>
            <w:r>
              <w:rPr>
                <w:b/>
                <w:bCs/>
                <w:color w:val="FFFFFF"/>
                <w:sz w:val="20"/>
                <w:szCs w:val="20"/>
              </w:rPr>
              <w:t xml:space="preserve">Format</w:t>
            </w:r>
          </w:p>
        </w:tc>
        <w:tc>
          <w:tcPr>
            <w:tcW w:type="dxa" w:w="1800"/>
            <w:shd w:fill="1F3864" w:val="clear"/>
            <w:tcMar>
              <w:top w:type="dxa" w:w="100"/>
              <w:left w:type="dxa" w:w="120"/>
              <w:bottom w:type="dxa" w:w="100"/>
              <w:right w:type="dxa" w:w="120"/>
            </w:tcMar>
            <w:vAlign w:val="center"/>
          </w:tcPr>
          <w:p>
            <w:r>
              <w:rPr>
                <w:b/>
                <w:bCs/>
                <w:color w:val="FFFFFF"/>
                <w:sz w:val="20"/>
                <w:szCs w:val="20"/>
              </w:rPr>
              <w:t xml:space="preserve">Update Frequency</w:t>
            </w:r>
          </w:p>
        </w:tc>
        <w:tc>
          <w:tcPr>
            <w:tcW w:type="dxa" w:w="1800"/>
            <w:shd w:fill="1F3864" w:val="clear"/>
            <w:tcMar>
              <w:top w:type="dxa" w:w="100"/>
              <w:left w:type="dxa" w:w="120"/>
              <w:bottom w:type="dxa" w:w="100"/>
              <w:right w:type="dxa" w:w="120"/>
            </w:tcMar>
            <w:vAlign w:val="center"/>
          </w:tcPr>
          <w:p>
            <w:r>
              <w:rPr>
                <w:b/>
                <w:bCs/>
                <w:color w:val="FFFFFF"/>
                <w:sz w:val="20"/>
                <w:szCs w:val="20"/>
              </w:rPr>
              <w:t xml:space="preserve">Key Metadata Fields</w:t>
            </w:r>
          </w:p>
        </w:tc>
      </w:tr>
      <w:tr>
        <w:trPr>
          <w:tblHeader w:val="false"/>
        </w:trPr>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DigiLocker issued-document statistics</w:t>
            </w:r>
          </w:p>
        </w:tc>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data.gov.in / MeitY dashboards</w:t>
            </w:r>
          </w:p>
        </w:tc>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CSV / JSON</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Monthly</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state, month, documents_issued, partner_dept</w:t>
            </w:r>
          </w:p>
        </w:tc>
      </w:tr>
      <w:tr>
        <w:trPr>
          <w:tblHeader w:val="false"/>
        </w:trPr>
        <w:tc>
          <w:tcPr>
            <w:tcW w:type="dxa" w:w="2000"/>
            <w:shd w:fill="DDEBF7" w:val="clear"/>
            <w:tcMar>
              <w:top w:type="dxa" w:w="100"/>
              <w:left w:type="dxa" w:w="120"/>
              <w:bottom w:type="dxa" w:w="100"/>
              <w:right w:type="dxa" w:w="120"/>
            </w:tcMar>
            <w:vAlign w:val="center"/>
          </w:tcPr>
          <w:p>
            <w:r>
              <w:rPr>
                <w:b w:val="false"/>
                <w:bCs w:val="false"/>
                <w:color w:val="222222"/>
                <w:sz w:val="20"/>
                <w:szCs w:val="20"/>
              </w:rPr>
              <w:t xml:space="preserve">UMANG app usage &amp; transaction statistics</w:t>
            </w:r>
          </w:p>
        </w:tc>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MeitY / UMANG public dashboard</w:t>
            </w:r>
          </w:p>
        </w:tc>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CSV (scraped/published tables)</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Monthly</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service_category, transactions, active_users, month</w:t>
            </w:r>
          </w:p>
        </w:tc>
      </w:tr>
      <w:tr>
        <w:trPr>
          <w:tblHeader w:val="false"/>
        </w:trPr>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e-District service delivery statistics</w:t>
            </w:r>
          </w:p>
        </w:tc>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State e-District / NIC portals</w:t>
            </w:r>
          </w:p>
        </w:tc>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CSV / PDF tables</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Quarterly</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state, district, service_type, applications, avg_turnaround_days</w:t>
            </w:r>
          </w:p>
        </w:tc>
      </w:tr>
      <w:tr>
        <w:trPr>
          <w:tblHeader w:val="false"/>
        </w:trPr>
        <w:tc>
          <w:tcPr>
            <w:tcW w:type="dxa" w:w="2000"/>
            <w:shd w:fill="DDEBF7" w:val="clear"/>
            <w:tcMar>
              <w:top w:type="dxa" w:w="100"/>
              <w:left w:type="dxa" w:w="120"/>
              <w:bottom w:type="dxa" w:w="100"/>
              <w:right w:type="dxa" w:w="120"/>
            </w:tcMar>
            <w:vAlign w:val="center"/>
          </w:tcPr>
          <w:p>
            <w:r>
              <w:rPr>
                <w:b w:val="false"/>
                <w:bCs w:val="false"/>
                <w:color w:val="222222"/>
                <w:sz w:val="20"/>
                <w:szCs w:val="20"/>
              </w:rPr>
              <w:t xml:space="preserve">Telecom subscription &amp; internet penetration data</w:t>
            </w:r>
          </w:p>
        </w:tc>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TRAI (Telecom Regulatory Authority of India) reports</w:t>
            </w:r>
          </w:p>
        </w:tc>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CSV / Excel</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Quarterly</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state, circle, wireless_subscribers, teledensity, broadband_subscribers</w:t>
            </w:r>
          </w:p>
        </w:tc>
      </w:tr>
      <w:tr>
        <w:trPr>
          <w:tblHeader w:val="false"/>
        </w:trPr>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Census / MoSPI digital literacy &amp; demographic indicators</w:t>
            </w:r>
          </w:p>
        </w:tc>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Census of India / MoSPI</w:t>
            </w:r>
          </w:p>
        </w:tc>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CSV / tabulated PDF</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Periodic (survey-based)</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state, district, population, literacy_rate, internet_access_pct</w:t>
            </w:r>
          </w:p>
        </w:tc>
      </w:tr>
      <w:tr>
        <w:trPr>
          <w:tblHeader w:val="false"/>
        </w:trPr>
        <w:tc>
          <w:tcPr>
            <w:tcW w:type="dxa" w:w="2000"/>
            <w:shd w:fill="DDEBF7" w:val="clear"/>
            <w:tcMar>
              <w:top w:type="dxa" w:w="100"/>
              <w:left w:type="dxa" w:w="120"/>
              <w:bottom w:type="dxa" w:w="100"/>
              <w:right w:type="dxa" w:w="120"/>
            </w:tcMar>
            <w:vAlign w:val="center"/>
          </w:tcPr>
          <w:p>
            <w:r>
              <w:rPr>
                <w:b w:val="false"/>
                <w:bCs w:val="false"/>
                <w:color w:val="222222"/>
                <w:sz w:val="20"/>
                <w:szCs w:val="20"/>
              </w:rPr>
              <w:t xml:space="preserve">UN E-Government Development Index (EGDI)</w:t>
            </w:r>
          </w:p>
        </w:tc>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UN DESA e-Government Survey</w:t>
            </w:r>
          </w:p>
        </w:tc>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Excel / CSV</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Biennial</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country, year, EGDI_score, online_service_index, telecom_index</w:t>
            </w:r>
          </w:p>
        </w:tc>
      </w:tr>
      <w:tr>
        <w:trPr>
          <w:tblHeader w:val="false"/>
        </w:trPr>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Common Service Centre (CSC) delivery statistics</w:t>
            </w:r>
          </w:p>
        </w:tc>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CSC e-Governance Services India Ltd.</w:t>
            </w:r>
          </w:p>
        </w:tc>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CSV / dashboard export</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Monthly</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state, csc_count, services_delivered, month</w:t>
            </w:r>
          </w:p>
        </w:tc>
      </w:tr>
    </w:tbl>
    <w:p>
      <w:pPr>
        <w:spacing w:before="200"/>
      </w:pPr>
    </w:p>
    <w:p>
      <w:pPr>
        <w:spacing w:after="160" w:line="300"/>
        <w:jc w:val="both"/>
      </w:pPr>
      <w:r>
        <w:rPr>
          <w:sz w:val="22"/>
          <w:szCs w:val="22"/>
        </w:rPr>
        <w:t xml:space="preserve">Metadata is captured consistently for every dataset at extraction time: source URL, extraction timestamp, reporting period, unit of observation (state/district/national), and a version/checksum identifier. This metadata is written to an append-only log (`metadata_log.json`) rather than embedded in the data files themselves, so that data files remain clean while full provenance is still recoverable.</w:t>
      </w:r>
    </w:p>
    <w:p>
      <w:pPr>
        <w:pStyle w:val="Heading1"/>
        <w:pBdr>
          <w:bottom w:val="single" w:color="2E75B6" w:sz="6" w:space="4"/>
        </w:pBdr>
        <w:spacing w:after="160" w:before="360"/>
      </w:pPr>
      <w:r>
        <w:rPr>
          <w:b/>
          <w:bCs/>
          <w:color w:val="1F3864"/>
          <w:sz w:val="30"/>
          <w:szCs w:val="30"/>
        </w:rPr>
        <w:t xml:space="preserve">4. Data Collection Plan</w:t>
      </w:r>
    </w:p>
    <w:p>
      <w:pPr>
        <w:pStyle w:val="Heading2"/>
        <w:spacing w:after="120" w:before="280"/>
      </w:pPr>
      <w:r>
        <w:rPr>
          <w:b/>
          <w:bCs/>
          <w:color w:val="2E75B6"/>
          <w:sz w:val="25"/>
          <w:szCs w:val="25"/>
        </w:rPr>
        <w:t xml:space="preserve">4.1 Extraction Methods</w:t>
      </w:r>
    </w:p>
    <w:p>
      <w:pPr>
        <w:pStyle w:val="ListParagraph"/>
        <w:numPr>
          <w:ilvl w:val="0"/>
          <w:numId w:val="2"/>
        </w:numPr>
        <w:spacing w:after="90" w:line="280"/>
      </w:pPr>
      <w:r>
        <w:rPr>
          <w:sz w:val="22"/>
          <w:szCs w:val="22"/>
        </w:rPr>
        <w:t xml:space="preserve">API-based extraction — for sources exposing a REST API (data.gov.in via the `datagovindia` Python client), scripted GET requests retrieve resources by resource ID, with pagination handled programmatically.</w:t>
      </w:r>
    </w:p>
    <w:p>
      <w:pPr>
        <w:pStyle w:val="ListParagraph"/>
        <w:numPr>
          <w:ilvl w:val="0"/>
          <w:numId w:val="2"/>
        </w:numPr>
        <w:spacing w:after="90" w:line="280"/>
      </w:pPr>
      <w:r>
        <w:rPr>
          <w:sz w:val="22"/>
          <w:szCs w:val="22"/>
        </w:rPr>
        <w:t xml:space="preserve">Bulk file download — for sources publishing periodic CSV/Excel releases (TRAI reports, Census/MoSPI tables), Python's `requests` library downloads files directly to the raw zone, with the download logged by timestamp and source URL.</w:t>
      </w:r>
    </w:p>
    <w:p>
      <w:pPr>
        <w:pStyle w:val="ListParagraph"/>
        <w:numPr>
          <w:ilvl w:val="0"/>
          <w:numId w:val="2"/>
        </w:numPr>
        <w:spacing w:after="90" w:line="280"/>
      </w:pPr>
      <w:r>
        <w:rPr>
          <w:sz w:val="22"/>
          <w:szCs w:val="22"/>
        </w:rPr>
        <w:t xml:space="preserve">Structured web tables — for dashboard-published statistics without a formal API (e.g., some MeitY/UMANG summary tables), `pandas.read_html()` or targeted parsing is used to extract tabular structures, with manual verification against the source page.</w:t>
      </w:r>
    </w:p>
    <w:p>
      <w:pPr>
        <w:pStyle w:val="Heading2"/>
        <w:spacing w:after="120" w:before="280"/>
      </w:pPr>
      <w:r>
        <w:rPr>
          <w:b/>
          <w:bCs/>
          <w:color w:val="2E75B6"/>
          <w:sz w:val="25"/>
          <w:szCs w:val="25"/>
        </w:rPr>
        <w:t xml:space="preserve">4.2 Extraction Script Pattern</w:t>
      </w:r>
    </w:p>
    <w:p>
      <w:pPr>
        <w:spacing w:after="160" w:line="300"/>
        <w:jc w:val="both"/>
      </w:pPr>
      <w:r>
        <w:rPr>
          <w:sz w:val="22"/>
          <w:szCs w:val="22"/>
        </w:rPr>
        <w:t xml:space="preserve">All extraction scripts follow a consistent pattern so that every pull is logged, reproducible, and traceable to its source:</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import requests, pandas as pd, json, datetime</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def fetch_resource(resource_id, api_key, filters=None):</w:t>
      </w:r>
      <w:r>
        <w:rPr>
          <w:rFonts w:ascii="Consolas" w:cs="Consolas" w:eastAsia="Consolas" w:hAnsi="Consolas"/>
          <w:color w:val="203864"/>
          <w:sz w:val="18"/>
          <w:szCs w:val="18"/>
        </w:rPr>
        <w:br/>
        <w:t xml:space="preserve">    url = f"https://api.data.gov.in/resource/{resource_id}"</w:t>
      </w:r>
      <w:r>
        <w:rPr>
          <w:rFonts w:ascii="Consolas" w:cs="Consolas" w:eastAsia="Consolas" w:hAnsi="Consolas"/>
          <w:color w:val="203864"/>
          <w:sz w:val="18"/>
          <w:szCs w:val="18"/>
        </w:rPr>
        <w:br/>
        <w:t xml:space="preserve">    params = {"api-key": api_key, "format": "json", "limit": 1000}</w:t>
      </w:r>
      <w:r>
        <w:rPr>
          <w:rFonts w:ascii="Consolas" w:cs="Consolas" w:eastAsia="Consolas" w:hAnsi="Consolas"/>
          <w:color w:val="203864"/>
          <w:sz w:val="18"/>
          <w:szCs w:val="18"/>
        </w:rPr>
        <w:br/>
        <w:t xml:space="preserve">    if filters:</w:t>
      </w:r>
      <w:r>
        <w:rPr>
          <w:rFonts w:ascii="Consolas" w:cs="Consolas" w:eastAsia="Consolas" w:hAnsi="Consolas"/>
          <w:color w:val="203864"/>
          <w:sz w:val="18"/>
          <w:szCs w:val="18"/>
        </w:rPr>
        <w:br/>
        <w:t xml:space="preserve">        params.update(filters)</w:t>
      </w:r>
      <w:r>
        <w:rPr>
          <w:rFonts w:ascii="Consolas" w:cs="Consolas" w:eastAsia="Consolas" w:hAnsi="Consolas"/>
          <w:color w:val="203864"/>
          <w:sz w:val="18"/>
          <w:szCs w:val="18"/>
        </w:rPr>
        <w:br/>
        <w:t xml:space="preserve">    resp = requests.get(url, params=params, timeout=30)</w:t>
      </w:r>
      <w:r>
        <w:rPr>
          <w:rFonts w:ascii="Consolas" w:cs="Consolas" w:eastAsia="Consolas" w:hAnsi="Consolas"/>
          <w:color w:val="203864"/>
          <w:sz w:val="18"/>
          <w:szCs w:val="18"/>
        </w:rPr>
        <w:br/>
        <w:t xml:space="preserve">    resp.raise_for_status()</w:t>
      </w:r>
      <w:r>
        <w:rPr>
          <w:rFonts w:ascii="Consolas" w:cs="Consolas" w:eastAsia="Consolas" w:hAnsi="Consolas"/>
          <w:color w:val="203864"/>
          <w:sz w:val="18"/>
          <w:szCs w:val="18"/>
        </w:rPr>
        <w:br/>
        <w:t xml:space="preserve">    records = resp.json().get("records", [])</w:t>
      </w:r>
      <w:r>
        <w:rPr>
          <w:rFonts w:ascii="Consolas" w:cs="Consolas" w:eastAsia="Consolas" w:hAnsi="Consolas"/>
          <w:color w:val="203864"/>
          <w:sz w:val="18"/>
          <w:szCs w:val="18"/>
        </w:rPr>
        <w:br/>
        <w:t xml:space="preserve">    df = pd.DataFrame(records)</w:t>
      </w:r>
      <w:r>
        <w:rPr>
          <w:rFonts w:ascii="Consolas" w:cs="Consolas" w:eastAsia="Consolas" w:hAnsi="Consolas"/>
          <w:color w:val="203864"/>
          <w:sz w:val="18"/>
          <w:szCs w:val="18"/>
        </w:rPr>
        <w:br/>
        <w:t xml:space="preserve">    log_extraction(resource_id, url, len(df))</w:t>
      </w:r>
      <w:r>
        <w:rPr>
          <w:rFonts w:ascii="Consolas" w:cs="Consolas" w:eastAsia="Consolas" w:hAnsi="Consolas"/>
          <w:color w:val="203864"/>
          <w:sz w:val="18"/>
          <w:szCs w:val="18"/>
        </w:rPr>
        <w:br/>
        <w:t xml:space="preserve">    return df</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def log_extraction(resource_id, url, row_count):</w:t>
      </w:r>
      <w:r>
        <w:rPr>
          <w:rFonts w:ascii="Consolas" w:cs="Consolas" w:eastAsia="Consolas" w:hAnsi="Consolas"/>
          <w:color w:val="203864"/>
          <w:sz w:val="18"/>
          <w:szCs w:val="18"/>
        </w:rPr>
        <w:br/>
        <w:t xml:space="preserve">    entry = {</w:t>
      </w:r>
      <w:r>
        <w:rPr>
          <w:rFonts w:ascii="Consolas" w:cs="Consolas" w:eastAsia="Consolas" w:hAnsi="Consolas"/>
          <w:color w:val="203864"/>
          <w:sz w:val="18"/>
          <w:szCs w:val="18"/>
        </w:rPr>
        <w:br/>
        <w:t xml:space="preserve">        "resource_id": resource_id, "url": url,</w:t>
      </w:r>
      <w:r>
        <w:rPr>
          <w:rFonts w:ascii="Consolas" w:cs="Consolas" w:eastAsia="Consolas" w:hAnsi="Consolas"/>
          <w:color w:val="203864"/>
          <w:sz w:val="18"/>
          <w:szCs w:val="18"/>
        </w:rPr>
        <w:br/>
        <w:t xml:space="preserve">        "row_count": row_count,</w:t>
      </w:r>
      <w:r>
        <w:rPr>
          <w:rFonts w:ascii="Consolas" w:cs="Consolas" w:eastAsia="Consolas" w:hAnsi="Consolas"/>
          <w:color w:val="203864"/>
          <w:sz w:val="18"/>
          <w:szCs w:val="18"/>
        </w:rPr>
        <w:br/>
        <w:t xml:space="preserve">        "extracted_at": datetime.datetime.utcnow().isoformat()</w:t>
      </w:r>
      <w:r>
        <w:rPr>
          <w:rFonts w:ascii="Consolas" w:cs="Consolas" w:eastAsia="Consolas" w:hAnsi="Consolas"/>
          <w:color w:val="203864"/>
          <w:sz w:val="18"/>
          <w:szCs w:val="18"/>
        </w:rPr>
        <w:br/>
        <w:t xml:space="preserve">    }</w:t>
      </w:r>
      <w:r>
        <w:rPr>
          <w:rFonts w:ascii="Consolas" w:cs="Consolas" w:eastAsia="Consolas" w:hAnsi="Consolas"/>
          <w:color w:val="203864"/>
          <w:sz w:val="18"/>
          <w:szCs w:val="18"/>
        </w:rPr>
        <w:br/>
        <w:t xml:space="preserve">    with open("data/metadata/metadata_log.json", "a") as f:</w:t>
      </w:r>
      <w:r>
        <w:rPr>
          <w:rFonts w:ascii="Consolas" w:cs="Consolas" w:eastAsia="Consolas" w:hAnsi="Consolas"/>
          <w:color w:val="203864"/>
          <w:sz w:val="18"/>
          <w:szCs w:val="18"/>
        </w:rPr>
        <w:br/>
        <w:t xml:space="preserve">        f.write(json.dumps(entry) + "\n")</w:t>
      </w:r>
    </w:p>
    <w:p>
      <w:pPr>
        <w:pStyle w:val="Heading2"/>
        <w:spacing w:after="120" w:before="280"/>
      </w:pPr>
      <w:r>
        <w:rPr>
          <w:b/>
          <w:bCs/>
          <w:color w:val="2E75B6"/>
          <w:sz w:val="25"/>
          <w:szCs w:val="25"/>
        </w:rPr>
        <w:t xml:space="preserve">4.3 Storage Architecture</w:t>
      </w:r>
    </w:p>
    <w:p>
      <w:pPr>
        <w:spacing w:after="160" w:line="300"/>
        <w:jc w:val="both"/>
      </w:pPr>
      <w:r>
        <w:rPr>
          <w:sz w:val="22"/>
          <w:szCs w:val="22"/>
        </w:rPr>
        <w:t xml:space="preserve">Extracted data moves through three physical storage zones, keeping raw source data immutable and separating in-progress cleaning work from the final analysis-ready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Storage Zone</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Purpose</w:t>
            </w:r>
          </w:p>
        </w:tc>
        <w:tc>
          <w:tcPr>
            <w:tcW w:type="dxa" w:w="3800"/>
            <w:shd w:fill="1F3864" w:val="clear"/>
            <w:tcMar>
              <w:top w:type="dxa" w:w="100"/>
              <w:left w:type="dxa" w:w="120"/>
              <w:bottom w:type="dxa" w:w="100"/>
              <w:right w:type="dxa" w:w="120"/>
            </w:tcMar>
            <w:vAlign w:val="center"/>
          </w:tcPr>
          <w:p>
            <w:r>
              <w:rPr>
                <w:b/>
                <w:bCs/>
                <w:color w:val="FFFFFF"/>
                <w:sz w:val="20"/>
                <w:szCs w:val="20"/>
              </w:rPr>
              <w:t xml:space="preserve">Format &amp; Naming Convention</w:t>
            </w:r>
          </w:p>
        </w:tc>
      </w:tr>
      <w:tr>
        <w:trPr>
          <w:tblHeader w:val="false"/>
        </w:trPr>
        <w:tc>
          <w:tcPr>
            <w:tcW w:type="dxa" w:w="2200"/>
            <w:shd w:fill="FFFFFF" w:val="clear"/>
            <w:tcMar>
              <w:top w:type="dxa" w:w="100"/>
              <w:left w:type="dxa" w:w="120"/>
              <w:bottom w:type="dxa" w:w="100"/>
              <w:right w:type="dxa" w:w="120"/>
            </w:tcMar>
            <w:vAlign w:val="center"/>
          </w:tcPr>
          <w:p>
            <w:r>
              <w:rPr>
                <w:b w:val="false"/>
                <w:bCs w:val="false"/>
                <w:color w:val="222222"/>
                <w:sz w:val="20"/>
                <w:szCs w:val="20"/>
              </w:rPr>
              <w:t xml:space="preserve">Raw Zone (`/data/raw/`)</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Immutable, as-downloaded data — never edited after ingestion, preserved for auditability</w:t>
            </w:r>
          </w:p>
        </w:tc>
        <w:tc>
          <w:tcPr>
            <w:tcW w:type="dxa" w:w="3800"/>
            <w:shd w:fill="FFFFFF" w:val="clear"/>
            <w:tcMar>
              <w:top w:type="dxa" w:w="100"/>
              <w:left w:type="dxa" w:w="120"/>
              <w:bottom w:type="dxa" w:w="100"/>
              <w:right w:type="dxa" w:w="120"/>
            </w:tcMar>
            <w:vAlign w:val="center"/>
          </w:tcPr>
          <w:p>
            <w:r>
              <w:rPr>
                <w:b w:val="false"/>
                <w:bCs w:val="false"/>
                <w:color w:val="222222"/>
                <w:sz w:val="20"/>
                <w:szCs w:val="20"/>
              </w:rPr>
              <w:t xml:space="preserve">`&lt;source&gt;_&lt;dataset&gt;_&lt;YYYYMMDD&gt;.csv` (original format retained)</w:t>
            </w:r>
          </w:p>
        </w:tc>
      </w:tr>
      <w:tr>
        <w:trPr>
          <w:tblHeader w:val="false"/>
        </w:trPr>
        <w:tc>
          <w:tcPr>
            <w:tcW w:type="dxa" w:w="2200"/>
            <w:shd w:fill="DDEBF7" w:val="clear"/>
            <w:tcMar>
              <w:top w:type="dxa" w:w="100"/>
              <w:left w:type="dxa" w:w="120"/>
              <w:bottom w:type="dxa" w:w="100"/>
              <w:right w:type="dxa" w:w="120"/>
            </w:tcMar>
            <w:vAlign w:val="center"/>
          </w:tcPr>
          <w:p>
            <w:r>
              <w:rPr>
                <w:b w:val="false"/>
                <w:bCs w:val="false"/>
                <w:color w:val="222222"/>
                <w:sz w:val="20"/>
                <w:szCs w:val="20"/>
              </w:rPr>
              <w:t xml:space="preserve">Staging Zone (`/data/staging/`)</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Intermediate outputs during cleaning — type-corrected, deduplicated but not yet merged</w:t>
            </w:r>
          </w:p>
        </w:tc>
        <w:tc>
          <w:tcPr>
            <w:tcW w:type="dxa" w:w="3800"/>
            <w:shd w:fill="DDEBF7" w:val="clear"/>
            <w:tcMar>
              <w:top w:type="dxa" w:w="100"/>
              <w:left w:type="dxa" w:w="120"/>
              <w:bottom w:type="dxa" w:w="100"/>
              <w:right w:type="dxa" w:w="120"/>
            </w:tcMar>
            <w:vAlign w:val="center"/>
          </w:tcPr>
          <w:p>
            <w:r>
              <w:rPr>
                <w:b w:val="false"/>
                <w:bCs w:val="false"/>
                <w:color w:val="222222"/>
                <w:sz w:val="20"/>
                <w:szCs w:val="20"/>
              </w:rPr>
              <w:t xml:space="preserve">`&lt;dataset&gt;_stage1.parquet`</w:t>
            </w:r>
          </w:p>
        </w:tc>
      </w:tr>
      <w:tr>
        <w:trPr>
          <w:tblHeader w:val="false"/>
        </w:trPr>
        <w:tc>
          <w:tcPr>
            <w:tcW w:type="dxa" w:w="2200"/>
            <w:shd w:fill="FFFFFF" w:val="clear"/>
            <w:tcMar>
              <w:top w:type="dxa" w:w="100"/>
              <w:left w:type="dxa" w:w="120"/>
              <w:bottom w:type="dxa" w:w="100"/>
              <w:right w:type="dxa" w:w="120"/>
            </w:tcMar>
            <w:vAlign w:val="center"/>
          </w:tcPr>
          <w:p>
            <w:r>
              <w:rPr>
                <w:b w:val="false"/>
                <w:bCs w:val="false"/>
                <w:color w:val="222222"/>
                <w:sz w:val="20"/>
                <w:szCs w:val="20"/>
              </w:rPr>
              <w:t xml:space="preserve">Processed Zone (`/data/processed/`)</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Final, analysis-ready, merged datasets used in Week 3 onward</w:t>
            </w:r>
          </w:p>
        </w:tc>
        <w:tc>
          <w:tcPr>
            <w:tcW w:type="dxa" w:w="3800"/>
            <w:shd w:fill="FFFFFF" w:val="clear"/>
            <w:tcMar>
              <w:top w:type="dxa" w:w="100"/>
              <w:left w:type="dxa" w:w="120"/>
              <w:bottom w:type="dxa" w:w="100"/>
              <w:right w:type="dxa" w:w="120"/>
            </w:tcMar>
            <w:vAlign w:val="center"/>
          </w:tcPr>
          <w:p>
            <w:r>
              <w:rPr>
                <w:b w:val="false"/>
                <w:bCs w:val="false"/>
                <w:color w:val="222222"/>
                <w:sz w:val="20"/>
                <w:szCs w:val="20"/>
              </w:rPr>
              <w:t xml:space="preserve">`egov_master_&lt;YYYYMMDD&gt;.parquet` + accompanying data dictionary</w:t>
            </w:r>
          </w:p>
        </w:tc>
      </w:tr>
      <w:tr>
        <w:trPr>
          <w:tblHeader w:val="false"/>
        </w:trPr>
        <w:tc>
          <w:tcPr>
            <w:tcW w:type="dxa" w:w="2200"/>
            <w:shd w:fill="DDEBF7" w:val="clear"/>
            <w:tcMar>
              <w:top w:type="dxa" w:w="100"/>
              <w:left w:type="dxa" w:w="120"/>
              <w:bottom w:type="dxa" w:w="100"/>
              <w:right w:type="dxa" w:w="120"/>
            </w:tcMar>
            <w:vAlign w:val="center"/>
          </w:tcPr>
          <w:p>
            <w:r>
              <w:rPr>
                <w:b w:val="false"/>
                <w:bCs w:val="false"/>
                <w:color w:val="222222"/>
                <w:sz w:val="20"/>
                <w:szCs w:val="20"/>
              </w:rPr>
              <w:t xml:space="preserve">Metadata Store (`/data/metadata/`)</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Source URLs, extraction timestamps, schema versions, and API keys' config references (not the keys themselves)</w:t>
            </w:r>
          </w:p>
        </w:tc>
        <w:tc>
          <w:tcPr>
            <w:tcW w:type="dxa" w:w="3800"/>
            <w:shd w:fill="DDEBF7" w:val="clear"/>
            <w:tcMar>
              <w:top w:type="dxa" w:w="100"/>
              <w:left w:type="dxa" w:w="120"/>
              <w:bottom w:type="dxa" w:w="100"/>
              <w:right w:type="dxa" w:w="120"/>
            </w:tcMar>
            <w:vAlign w:val="center"/>
          </w:tcPr>
          <w:p>
            <w:r>
              <w:rPr>
                <w:b w:val="false"/>
                <w:bCs w:val="false"/>
                <w:color w:val="222222"/>
                <w:sz w:val="20"/>
                <w:szCs w:val="20"/>
              </w:rPr>
              <w:t xml:space="preserve">`metadata_log.json` (append-only log)</w:t>
            </w:r>
          </w:p>
        </w:tc>
      </w:tr>
    </w:tbl>
    <w:p>
      <w:pPr>
        <w:pStyle w:val="Heading1"/>
        <w:pBdr>
          <w:bottom w:val="single" w:color="2E75B6" w:sz="6" w:space="4"/>
        </w:pBdr>
        <w:spacing w:after="160" w:before="360"/>
      </w:pPr>
      <w:r>
        <w:rPr>
          <w:b/>
          <w:bCs/>
          <w:color w:val="1F3864"/>
          <w:sz w:val="30"/>
          <w:szCs w:val="30"/>
        </w:rPr>
        <w:t xml:space="preserve">5. Data Preprocessing &amp; Cleaning Framework</w:t>
      </w:r>
    </w:p>
    <w:p>
      <w:pPr>
        <w:spacing w:after="160" w:line="300"/>
        <w:jc w:val="both"/>
      </w:pPr>
      <w:r>
        <w:rPr>
          <w:sz w:val="22"/>
          <w:szCs w:val="22"/>
        </w:rPr>
        <w:t xml:space="preserve">Once data lands in the raw zone, it passes through a sequence of preprocessing stages before being promoted to staging and, ultimately, the processed zone. Each stage is implemented as an idempotent Python function so it can be re-run safely as new data arrives.</w:t>
      </w:r>
    </w:p>
    <w:p>
      <w:pPr>
        <w:pStyle w:val="Heading2"/>
        <w:spacing w:after="120" w:before="280"/>
      </w:pPr>
      <w:r>
        <w:rPr>
          <w:b/>
          <w:bCs/>
          <w:color w:val="2E75B6"/>
          <w:sz w:val="25"/>
          <w:szCs w:val="25"/>
        </w:rPr>
        <w:t xml:space="preserve">5.1 Handling Missing Values</w:t>
      </w:r>
    </w:p>
    <w:p>
      <w:pPr>
        <w:spacing w:after="160" w:line="300"/>
        <w:jc w:val="both"/>
      </w:pPr>
      <w:r>
        <w:rPr>
          <w:sz w:val="22"/>
          <w:szCs w:val="22"/>
        </w:rPr>
        <w:t xml:space="preserve">Missing-value treatment is chosen per column based on the mechanism of missingness rather than applied uniformly:</w:t>
      </w:r>
    </w:p>
    <w:p>
      <w:pPr>
        <w:pStyle w:val="ListParagraph"/>
        <w:numPr>
          <w:ilvl w:val="0"/>
          <w:numId w:val="2"/>
        </w:numPr>
        <w:spacing w:after="90" w:line="280"/>
      </w:pPr>
      <w:r>
        <w:rPr>
          <w:sz w:val="22"/>
          <w:szCs w:val="22"/>
        </w:rPr>
        <w:t xml:space="preserve">Structural missingness (a service not yet launched in a given state) — retained as explicit NaN and excluded from that state's calculations, never imputed.</w:t>
      </w:r>
    </w:p>
    <w:p>
      <w:pPr>
        <w:pStyle w:val="ListParagraph"/>
        <w:numPr>
          <w:ilvl w:val="0"/>
          <w:numId w:val="2"/>
        </w:numPr>
        <w:spacing w:after="90" w:line="280"/>
      </w:pPr>
      <w:r>
        <w:rPr>
          <w:sz w:val="22"/>
          <w:szCs w:val="22"/>
        </w:rPr>
        <w:t xml:space="preserve">Sporadic missingness in numeric time series (a single missing month) — forward-filled or linearly interpolated using pandas, since adjacent periods are informative.</w:t>
      </w:r>
    </w:p>
    <w:p>
      <w:pPr>
        <w:pStyle w:val="ListParagraph"/>
        <w:numPr>
          <w:ilvl w:val="0"/>
          <w:numId w:val="2"/>
        </w:numPr>
        <w:spacing w:after="90" w:line="280"/>
      </w:pPr>
      <w:r>
        <w:rPr>
          <w:sz w:val="22"/>
          <w:szCs w:val="22"/>
        </w:rPr>
        <w:t xml:space="preserve">Missing categorical fields — imputed with an explicit "Unknown" category rather than the mode, to avoid silently overstating the majority class.</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from sklearn.impute import SimpleImputer</w:t>
      </w:r>
      <w:r>
        <w:rPr>
          <w:rFonts w:ascii="Consolas" w:cs="Consolas" w:eastAsia="Consolas" w:hAnsi="Consolas"/>
          <w:color w:val="203864"/>
          <w:sz w:val="18"/>
          <w:szCs w:val="18"/>
        </w:rPr>
        <w:br/>
        <w:t xml:space="preserve">import numpy as np</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Numeric: median imputation for sporadic gaps</w:t>
      </w:r>
      <w:r>
        <w:rPr>
          <w:rFonts w:ascii="Consolas" w:cs="Consolas" w:eastAsia="Consolas" w:hAnsi="Consolas"/>
          <w:color w:val="203864"/>
          <w:sz w:val="18"/>
          <w:szCs w:val="18"/>
        </w:rPr>
        <w:br/>
        <w:t xml:space="preserve">num_imputer = SimpleImputer(strategy="median")</w:t>
      </w:r>
      <w:r>
        <w:rPr>
          <w:rFonts w:ascii="Consolas" w:cs="Consolas" w:eastAsia="Consolas" w:hAnsi="Consolas"/>
          <w:color w:val="203864"/>
          <w:sz w:val="18"/>
          <w:szCs w:val="18"/>
        </w:rPr>
        <w:br/>
        <w:t xml:space="preserve">df[num_cols] = num_imputer.fit_transform(df[num_cols])</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Categorical: explicit 'Unknown' label</w:t>
      </w:r>
      <w:r>
        <w:rPr>
          <w:rFonts w:ascii="Consolas" w:cs="Consolas" w:eastAsia="Consolas" w:hAnsi="Consolas"/>
          <w:color w:val="203864"/>
          <w:sz w:val="18"/>
          <w:szCs w:val="18"/>
        </w:rPr>
        <w:br/>
        <w:t xml:space="preserve">df[cat_cols] = df[cat_cols].fillna("Unknown")</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Time series: interpolate within each state group</w:t>
      </w:r>
      <w:r>
        <w:rPr>
          <w:rFonts w:ascii="Consolas" w:cs="Consolas" w:eastAsia="Consolas" w:hAnsi="Consolas"/>
          <w:color w:val="203864"/>
          <w:sz w:val="18"/>
          <w:szCs w:val="18"/>
        </w:rPr>
        <w:br/>
        <w:t xml:space="preserve">df["transactions"] = (df.groupby("state")["transactions"]</w:t>
      </w:r>
      <w:r>
        <w:rPr>
          <w:rFonts w:ascii="Consolas" w:cs="Consolas" w:eastAsia="Consolas" w:hAnsi="Consolas"/>
          <w:color w:val="203864"/>
          <w:sz w:val="18"/>
          <w:szCs w:val="18"/>
        </w:rPr>
        <w:br/>
        <w:t xml:space="preserve">                        .apply(lambda s: s.interpolate(method="linear")))</w:t>
      </w:r>
    </w:p>
    <w:p>
      <w:pPr>
        <w:pStyle w:val="Heading2"/>
        <w:spacing w:after="120" w:before="280"/>
      </w:pPr>
      <w:r>
        <w:rPr>
          <w:b/>
          <w:bCs/>
          <w:color w:val="2E75B6"/>
          <w:sz w:val="25"/>
          <w:szCs w:val="25"/>
        </w:rPr>
        <w:t xml:space="preserve">5.2 Type Correction &amp; Standardization</w:t>
      </w:r>
    </w:p>
    <w:p>
      <w:pPr>
        <w:pStyle w:val="ListParagraph"/>
        <w:numPr>
          <w:ilvl w:val="0"/>
          <w:numId w:val="2"/>
        </w:numPr>
        <w:spacing w:after="90" w:line="280"/>
      </w:pPr>
      <w:r>
        <w:rPr>
          <w:sz w:val="22"/>
          <w:szCs w:val="22"/>
        </w:rPr>
        <w:t xml:space="preserve">Coerce numeric-looking strings (e.g., "1,23,456" Indian-format numbers) to proper numeric dtypes using regex-based cleaning before `pd.to_numeric`.</w:t>
      </w:r>
    </w:p>
    <w:p>
      <w:pPr>
        <w:pStyle w:val="ListParagraph"/>
        <w:numPr>
          <w:ilvl w:val="0"/>
          <w:numId w:val="2"/>
        </w:numPr>
        <w:spacing w:after="90" w:line="280"/>
      </w:pPr>
      <w:r>
        <w:rPr>
          <w:sz w:val="22"/>
          <w:szCs w:val="22"/>
        </w:rPr>
        <w:t xml:space="preserve">Parse all date/period fields to `datetime64` using a single canonical format, resolving inconsistent source formats (e.g., "Apr-2025" vs "2025-04-01").</w:t>
      </w:r>
    </w:p>
    <w:p>
      <w:pPr>
        <w:pStyle w:val="ListParagraph"/>
        <w:numPr>
          <w:ilvl w:val="0"/>
          <w:numId w:val="2"/>
        </w:numPr>
        <w:spacing w:after="90" w:line="280"/>
      </w:pPr>
      <w:r>
        <w:rPr>
          <w:sz w:val="22"/>
          <w:szCs w:val="22"/>
        </w:rPr>
        <w:t xml:space="preserve">Standardize state and district names against a canonical lookup table (handling variants such as "Odisha" vs "Orissa", or trailing whitespace) to guarantee clean joins across sources.</w:t>
      </w:r>
    </w:p>
    <w:p>
      <w:pPr>
        <w:pStyle w:val="Heading2"/>
        <w:spacing w:after="120" w:before="280"/>
      </w:pPr>
      <w:r>
        <w:rPr>
          <w:b/>
          <w:bCs/>
          <w:color w:val="2E75B6"/>
          <w:sz w:val="25"/>
          <w:szCs w:val="25"/>
        </w:rPr>
        <w:t xml:space="preserve">5.3 Deduplication &amp; Outlier Handling</w:t>
      </w:r>
    </w:p>
    <w:p>
      <w:pPr>
        <w:pStyle w:val="ListParagraph"/>
        <w:numPr>
          <w:ilvl w:val="0"/>
          <w:numId w:val="2"/>
        </w:numPr>
        <w:spacing w:after="90" w:line="280"/>
      </w:pPr>
      <w:r>
        <w:rPr>
          <w:sz w:val="22"/>
          <w:szCs w:val="22"/>
        </w:rPr>
        <w:t xml:space="preserve">Remove exact duplicate rows arising from repeated extraction runs using `drop_duplicates()` on a defined composite key (state + period + service).</w:t>
      </w:r>
    </w:p>
    <w:p>
      <w:pPr>
        <w:pStyle w:val="ListParagraph"/>
        <w:numPr>
          <w:ilvl w:val="0"/>
          <w:numId w:val="2"/>
        </w:numPr>
        <w:spacing w:after="90" w:line="280"/>
      </w:pPr>
      <w:r>
        <w:rPr>
          <w:sz w:val="22"/>
          <w:szCs w:val="22"/>
        </w:rPr>
        <w:t xml:space="preserve">Flag statistical outliers using the IQR method or z-score thresholding on key numeric fields, routing flagged rows to a manual-review log rather than silently dropping them.</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 Outlier flagging via IQR</w:t>
      </w:r>
      <w:r>
        <w:rPr>
          <w:rFonts w:ascii="Consolas" w:cs="Consolas" w:eastAsia="Consolas" w:hAnsi="Consolas"/>
          <w:color w:val="203864"/>
          <w:sz w:val="18"/>
          <w:szCs w:val="18"/>
        </w:rPr>
        <w:br/>
        <w:t xml:space="preserve">Q1, Q3 = df["avg_turnaround_days"].quantile([0.25, 0.75])</w:t>
      </w:r>
      <w:r>
        <w:rPr>
          <w:rFonts w:ascii="Consolas" w:cs="Consolas" w:eastAsia="Consolas" w:hAnsi="Consolas"/>
          <w:color w:val="203864"/>
          <w:sz w:val="18"/>
          <w:szCs w:val="18"/>
        </w:rPr>
        <w:br/>
        <w:t xml:space="preserve">IQR = Q3 - Q1</w:t>
      </w:r>
      <w:r>
        <w:rPr>
          <w:rFonts w:ascii="Consolas" w:cs="Consolas" w:eastAsia="Consolas" w:hAnsi="Consolas"/>
          <w:color w:val="203864"/>
          <w:sz w:val="18"/>
          <w:szCs w:val="18"/>
        </w:rPr>
        <w:br/>
        <w:t xml:space="preserve">lower, upper = Q1 - 1.5 * IQR, Q3 + 1.5 * IQR</w:t>
      </w:r>
      <w:r>
        <w:rPr>
          <w:rFonts w:ascii="Consolas" w:cs="Consolas" w:eastAsia="Consolas" w:hAnsi="Consolas"/>
          <w:color w:val="203864"/>
          <w:sz w:val="18"/>
          <w:szCs w:val="18"/>
        </w:rPr>
        <w:br/>
        <w:t xml:space="preserve">df["is_outlier"] = ~df["avg_turnaround_days"].between(lower, upper)</w:t>
      </w:r>
    </w:p>
    <w:p>
      <w:pPr>
        <w:pStyle w:val="Heading2"/>
        <w:spacing w:after="120" w:before="280"/>
      </w:pPr>
      <w:r>
        <w:rPr>
          <w:b/>
          <w:bCs/>
          <w:color w:val="2E75B6"/>
          <w:sz w:val="25"/>
          <w:szCs w:val="25"/>
        </w:rPr>
        <w:t xml:space="preserve">5.4 Normalization &amp; Feature Scaling</w:t>
      </w:r>
    </w:p>
    <w:p>
      <w:pPr>
        <w:spacing w:after="160" w:line="300"/>
        <w:jc w:val="both"/>
      </w:pPr>
      <w:r>
        <w:rPr>
          <w:sz w:val="22"/>
          <w:szCs w:val="22"/>
        </w:rPr>
        <w:t xml:space="preserve">Because the master dataset combines fields on very different scales (raw transaction counts in the millions vs. percentage rates), numeric features intended for cross-metric comparison or later correlation analysis are scaled using scikit-learn:</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from sklearn.preprocessing import MinMaxScaler, StandardScaler</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Min-Max scaling (0-1) for dashboard-friendly comparison</w:t>
      </w:r>
      <w:r>
        <w:rPr>
          <w:rFonts w:ascii="Consolas" w:cs="Consolas" w:eastAsia="Consolas" w:hAnsi="Consolas"/>
          <w:color w:val="203864"/>
          <w:sz w:val="18"/>
          <w:szCs w:val="18"/>
        </w:rPr>
        <w:br/>
        <w:t xml:space="preserve">minmax = MinMaxScaler()</w:t>
      </w:r>
      <w:r>
        <w:rPr>
          <w:rFonts w:ascii="Consolas" w:cs="Consolas" w:eastAsia="Consolas" w:hAnsi="Consolas"/>
          <w:color w:val="203864"/>
          <w:sz w:val="18"/>
          <w:szCs w:val="18"/>
        </w:rPr>
        <w:br/>
        <w:t xml:space="preserve">df[["transactions_scaled"]] = minmax.fit_transform(df[["transactions"]])</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Standardization (z-score) ahead of correlation/regression analysis</w:t>
      </w:r>
      <w:r>
        <w:rPr>
          <w:rFonts w:ascii="Consolas" w:cs="Consolas" w:eastAsia="Consolas" w:hAnsi="Consolas"/>
          <w:color w:val="203864"/>
          <w:sz w:val="18"/>
          <w:szCs w:val="18"/>
        </w:rPr>
        <w:br/>
        <w:t xml:space="preserve">scaler = StandardScaler()</w:t>
      </w:r>
      <w:r>
        <w:rPr>
          <w:rFonts w:ascii="Consolas" w:cs="Consolas" w:eastAsia="Consolas" w:hAnsi="Consolas"/>
          <w:color w:val="203864"/>
          <w:sz w:val="18"/>
          <w:szCs w:val="18"/>
        </w:rPr>
        <w:br/>
        <w:t xml:space="preserve">df[num_cols_for_stats] = scaler.fit_transform(df[num_cols_for_stats])</w:t>
      </w:r>
    </w:p>
    <w:p>
      <w:pPr>
        <w:spacing w:after="160" w:line="300"/>
        <w:jc w:val="both"/>
      </w:pPr>
      <w:r>
        <w:rPr>
          <w:sz w:val="22"/>
          <w:szCs w:val="22"/>
        </w:rPr>
        <w:t xml:space="preserve">Raw (unscaled) values are always retained alongside the scaled columns rather than overwritten, so that absolute figures remain available for reporting even after scaling is applied for analysis.</w:t>
      </w:r>
    </w:p>
    <w:p>
      <w:pPr>
        <w:pStyle w:val="Heading2"/>
        <w:spacing w:after="120" w:before="280"/>
      </w:pPr>
      <w:r>
        <w:rPr>
          <w:b/>
          <w:bCs/>
          <w:color w:val="2E75B6"/>
          <w:sz w:val="25"/>
          <w:szCs w:val="25"/>
        </w:rPr>
        <w:t xml:space="preserve">5.5 Transformation &amp; Feature Engineering</w:t>
      </w:r>
    </w:p>
    <w:p>
      <w:pPr>
        <w:pStyle w:val="ListParagraph"/>
        <w:numPr>
          <w:ilvl w:val="0"/>
          <w:numId w:val="2"/>
        </w:numPr>
        <w:spacing w:after="90" w:line="280"/>
      </w:pPr>
      <w:r>
        <w:rPr>
          <w:sz w:val="22"/>
          <w:szCs w:val="22"/>
        </w:rPr>
        <w:t xml:space="preserve">Reshape wide-format source tables (one column per year) into tidy long format using `pandas.melt()`, so all datasets share a common `state | period | metric | value` structure before merging.</w:t>
      </w:r>
    </w:p>
    <w:p>
      <w:pPr>
        <w:pStyle w:val="ListParagraph"/>
        <w:numPr>
          <w:ilvl w:val="0"/>
          <w:numId w:val="2"/>
        </w:numPr>
        <w:spacing w:after="90" w:line="280"/>
      </w:pPr>
      <w:r>
        <w:rPr>
          <w:sz w:val="22"/>
          <w:szCs w:val="22"/>
        </w:rPr>
        <w:t xml:space="preserve">Derive rate-based features (e.g., transactions per 1,000 population) by joining transaction counts with Census population data — normalizing for population size before cross-state comparison.</w:t>
      </w:r>
    </w:p>
    <w:p>
      <w:pPr>
        <w:pStyle w:val="ListParagraph"/>
        <w:numPr>
          <w:ilvl w:val="0"/>
          <w:numId w:val="2"/>
        </w:numPr>
        <w:spacing w:after="90" w:line="280"/>
      </w:pPr>
      <w:r>
        <w:rPr>
          <w:sz w:val="22"/>
          <w:szCs w:val="22"/>
        </w:rPr>
        <w:t xml:space="preserve">Encode categorical fields (service_category, region_tier) using `LabelEncoder` or one-hot encoding where required for downstream statistical modeling.</w:t>
      </w:r>
    </w:p>
    <w:p>
      <w:pPr>
        <w:pStyle w:val="Heading1"/>
        <w:pBdr>
          <w:bottom w:val="single" w:color="2E75B6" w:sz="6" w:space="4"/>
        </w:pBdr>
        <w:spacing w:after="160" w:before="360"/>
      </w:pPr>
      <w:r>
        <w:rPr>
          <w:b/>
          <w:bCs/>
          <w:color w:val="1F3864"/>
          <w:sz w:val="30"/>
          <w:szCs w:val="30"/>
        </w:rPr>
        <w:t xml:space="preserve">6. Data Quality Issues &amp; Validation Techniques</w:t>
      </w:r>
    </w:p>
    <w:p>
      <w:pPr>
        <w:spacing w:after="160" w:line="300"/>
        <w:jc w:val="both"/>
      </w:pPr>
      <w:r>
        <w:rPr>
          <w:sz w:val="22"/>
          <w:szCs w:val="22"/>
        </w:rPr>
        <w:t xml:space="preserve">Public e-governance datasets carry predictable quality risks: inconsistent administrative-unit naming, definitional changes across reporting periods, and gaps caused by phased platform rollouts. The validation layer below is applied after cleaning and before a dataset is promoted to the processed zone, so that no unverified data reaches the analysis-ready master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Validation Check</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Method</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Tooling</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Schema conformity</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Confirm expected columns, data types, and non-null constraints on required fields before merging</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pandas `dtypes`, custom schema dict, `pandera`</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Range / plausibility checks</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Flag values outside plausible bounds (e.g., turnaround_days &lt; 0, literacy_rate &gt; 100)</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pandas boolean masks, NumPy `where`</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Referential integrity</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Ensure state/district codes match a canonical lookup table across all merged sources</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pandas `merge` with `indicator=True` to catch unmatched keys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Duplicate detection</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Identify and resolve duplicate records from repeated extraction runs</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pandas `duplicated()`, `drop_duplicates()`</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Completeness scoring</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Quantify missingness per column/source to decide imputation vs. exclusion</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pandas `isna().mean()`, `ydata-profiling` summary reports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Cross-source consistency</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Compare overlapping metrics (e.g., population figures) across two independent sources for large discrepancies</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Manual spot-check + automated percentage-difference threshold flag</w:t>
            </w:r>
          </w:p>
        </w:tc>
      </w:tr>
    </w:tbl>
    <w:p>
      <w:pPr>
        <w:spacing w:after="160" w:line="300"/>
        <w:jc w:val="both"/>
      </w:pPr>
      <w:r>
        <w:rPr>
          <w:sz w:val="22"/>
          <w:szCs w:val="22"/>
        </w:rPr>
        <w:t xml:space="preserve">Any record failing a validation check is not silently dropped: it is written to a `flagged_records` log with the failing rule and dataset source, allowing a manual review pass before a final include/exclude decision — preserving an audit trail from raw source to final dataset.</w:t>
      </w:r>
    </w:p>
    <w:p>
      <w:pPr>
        <w:pStyle w:val="Heading1"/>
        <w:pBdr>
          <w:bottom w:val="single" w:color="2E75B6" w:sz="6" w:space="4"/>
        </w:pBdr>
        <w:spacing w:after="160" w:before="360"/>
      </w:pPr>
      <w:r>
        <w:rPr>
          <w:b/>
          <w:bCs/>
          <w:color w:val="1F3864"/>
          <w:sz w:val="30"/>
          <w:szCs w:val="30"/>
        </w:rPr>
        <w:t xml:space="preserve">7. Process Workflow &amp; Timeline</w:t>
      </w:r>
    </w:p>
    <w:p>
      <w:pPr>
        <w:spacing w:after="160" w:line="300"/>
        <w:jc w:val="both"/>
      </w:pPr>
      <w:r>
        <w:rPr>
          <w:sz w:val="22"/>
          <w:szCs w:val="22"/>
        </w:rPr>
        <w:t xml:space="preserve">The end-to-end pipeline runs as seven sequential stages, from source confirmation through to a finalized, merged master dataset. The stage breakdown below is estimated against the 30–35 hour weekly effort budget over a two-week execution window (this design week plus the following hands-on build week).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2000"/>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Stage</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Activities</w:t>
            </w:r>
          </w:p>
        </w:tc>
        <w:tc>
          <w:tcPr>
            <w:tcW w:type="dxa" w:w="3200"/>
            <w:shd w:fill="1F3864" w:val="clear"/>
            <w:tcMar>
              <w:top w:type="dxa" w:w="100"/>
              <w:left w:type="dxa" w:w="120"/>
              <w:bottom w:type="dxa" w:w="100"/>
              <w:right w:type="dxa" w:w="120"/>
            </w:tcMar>
            <w:vAlign w:val="center"/>
          </w:tcPr>
          <w:p>
            <w:r>
              <w:rPr>
                <w:b/>
                <w:bCs/>
                <w:color w:val="FFFFFF"/>
                <w:sz w:val="20"/>
                <w:szCs w:val="20"/>
              </w:rPr>
              <w:t xml:space="preserve">Output</w:t>
            </w:r>
          </w:p>
        </w:tc>
        <w:tc>
          <w:tcPr>
            <w:tcW w:type="dxa" w:w="2000"/>
            <w:shd w:fill="1F3864" w:val="clear"/>
            <w:tcMar>
              <w:top w:type="dxa" w:w="100"/>
              <w:left w:type="dxa" w:w="120"/>
              <w:bottom w:type="dxa" w:w="100"/>
              <w:right w:type="dxa" w:w="120"/>
            </w:tcMar>
            <w:vAlign w:val="center"/>
          </w:tcPr>
          <w:p>
            <w:r>
              <w:rPr>
                <w:b/>
                <w:bCs/>
                <w:color w:val="FFFFFF"/>
                <w:sz w:val="20"/>
                <w:szCs w:val="20"/>
              </w:rPr>
              <w:t xml:space="preserve">Est. Duration</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1. Source Confirmation</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Finalize dataset list, register for API keys (data.gov.in), confirm access to TRAI/Census downloads</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Confirmed source inventory + access credentials</w:t>
            </w:r>
          </w:p>
        </w:tc>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Day 1–2</w:t>
            </w:r>
          </w:p>
        </w:tc>
      </w:tr>
      <w:tr>
        <w:trPr>
          <w:tblHeader w:val="false"/>
        </w:trPr>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2. Extraction</w:t>
            </w:r>
          </w:p>
        </w:tc>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Run Python extraction scripts (API pulls + bulk downloads); log metadata for each pull</w:t>
            </w:r>
          </w:p>
        </w:tc>
        <w:tc>
          <w:tcPr>
            <w:tcW w:type="dxa" w:w="3200"/>
            <w:shd w:fill="DDEBF7" w:val="clear"/>
            <w:tcMar>
              <w:top w:type="dxa" w:w="100"/>
              <w:left w:type="dxa" w:w="120"/>
              <w:bottom w:type="dxa" w:w="100"/>
              <w:right w:type="dxa" w:w="120"/>
            </w:tcMar>
            <w:vAlign w:val="center"/>
          </w:tcPr>
          <w:p>
            <w:r>
              <w:rPr>
                <w:b w:val="false"/>
                <w:bCs w:val="false"/>
                <w:color w:val="222222"/>
                <w:sz w:val="20"/>
                <w:szCs w:val="20"/>
              </w:rPr>
              <w:t xml:space="preserve">Raw zone populated, metadata_log.json</w:t>
            </w:r>
          </w:p>
        </w:tc>
        <w:tc>
          <w:tcPr>
            <w:tcW w:type="dxa" w:w="2000"/>
            <w:shd w:fill="DDEBF7" w:val="clear"/>
            <w:tcMar>
              <w:top w:type="dxa" w:w="100"/>
              <w:left w:type="dxa" w:w="120"/>
              <w:bottom w:type="dxa" w:w="100"/>
              <w:right w:type="dxa" w:w="120"/>
            </w:tcMar>
            <w:vAlign w:val="center"/>
          </w:tcPr>
          <w:p>
            <w:r>
              <w:rPr>
                <w:b w:val="false"/>
                <w:bCs w:val="false"/>
                <w:color w:val="222222"/>
                <w:sz w:val="20"/>
                <w:szCs w:val="20"/>
              </w:rPr>
              <w:t xml:space="preserve">Day 2–4</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3. Initial Inspection</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Profile each dataset (shape, dtypes, missingness, duplicates) using pandas/ydata-profiling</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Per-dataset profiling report</w:t>
            </w:r>
          </w:p>
        </w:tc>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Day 4–5</w:t>
            </w:r>
          </w:p>
        </w:tc>
      </w:tr>
      <w:tr>
        <w:trPr>
          <w:tblHeader w:val="false"/>
        </w:trPr>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4. Cleaning &amp; Standardization</w:t>
            </w:r>
          </w:p>
        </w:tc>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Handle missing values, fix dtypes, standardize state/district naming, remove duplicates</w:t>
            </w:r>
          </w:p>
        </w:tc>
        <w:tc>
          <w:tcPr>
            <w:tcW w:type="dxa" w:w="3200"/>
            <w:shd w:fill="DDEBF7" w:val="clear"/>
            <w:tcMar>
              <w:top w:type="dxa" w:w="100"/>
              <w:left w:type="dxa" w:w="120"/>
              <w:bottom w:type="dxa" w:w="100"/>
              <w:right w:type="dxa" w:w="120"/>
            </w:tcMar>
            <w:vAlign w:val="center"/>
          </w:tcPr>
          <w:p>
            <w:r>
              <w:rPr>
                <w:b w:val="false"/>
                <w:bCs w:val="false"/>
                <w:color w:val="222222"/>
                <w:sz w:val="20"/>
                <w:szCs w:val="20"/>
              </w:rPr>
              <w:t xml:space="preserve">Staging zone populated</w:t>
            </w:r>
          </w:p>
        </w:tc>
        <w:tc>
          <w:tcPr>
            <w:tcW w:type="dxa" w:w="2000"/>
            <w:shd w:fill="DDEBF7" w:val="clear"/>
            <w:tcMar>
              <w:top w:type="dxa" w:w="100"/>
              <w:left w:type="dxa" w:w="120"/>
              <w:bottom w:type="dxa" w:w="100"/>
              <w:right w:type="dxa" w:w="120"/>
            </w:tcMar>
            <w:vAlign w:val="center"/>
          </w:tcPr>
          <w:p>
            <w:r>
              <w:rPr>
                <w:b w:val="false"/>
                <w:bCs w:val="false"/>
                <w:color w:val="222222"/>
                <w:sz w:val="20"/>
                <w:szCs w:val="20"/>
              </w:rPr>
              <w:t xml:space="preserve">Day 5–8</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5. Transformation &amp; Normalization</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Reshape to tidy format, engineer derived features, scale/normalize numeric fields where needed</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Transformed staging datasets</w:t>
            </w:r>
          </w:p>
        </w:tc>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Day 8–10</w:t>
            </w:r>
          </w:p>
        </w:tc>
      </w:tr>
      <w:tr>
        <w:trPr>
          <w:tblHeader w:val="false"/>
        </w:trPr>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6. Validation &amp; QA</w:t>
            </w:r>
          </w:p>
        </w:tc>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Run schema, range, referential-integrity, and cross-source consistency checks</w:t>
            </w:r>
          </w:p>
        </w:tc>
        <w:tc>
          <w:tcPr>
            <w:tcW w:type="dxa" w:w="3200"/>
            <w:shd w:fill="DDEBF7" w:val="clear"/>
            <w:tcMar>
              <w:top w:type="dxa" w:w="100"/>
              <w:left w:type="dxa" w:w="120"/>
              <w:bottom w:type="dxa" w:w="100"/>
              <w:right w:type="dxa" w:w="120"/>
            </w:tcMar>
            <w:vAlign w:val="center"/>
          </w:tcPr>
          <w:p>
            <w:r>
              <w:rPr>
                <w:b w:val="false"/>
                <w:bCs w:val="false"/>
                <w:color w:val="222222"/>
                <w:sz w:val="20"/>
                <w:szCs w:val="20"/>
              </w:rPr>
              <w:t xml:space="preserve">Validation report, flagged-record log</w:t>
            </w:r>
          </w:p>
        </w:tc>
        <w:tc>
          <w:tcPr>
            <w:tcW w:type="dxa" w:w="2000"/>
            <w:shd w:fill="DDEBF7" w:val="clear"/>
            <w:tcMar>
              <w:top w:type="dxa" w:w="100"/>
              <w:left w:type="dxa" w:w="120"/>
              <w:bottom w:type="dxa" w:w="100"/>
              <w:right w:type="dxa" w:w="120"/>
            </w:tcMar>
            <w:vAlign w:val="center"/>
          </w:tcPr>
          <w:p>
            <w:r>
              <w:rPr>
                <w:b w:val="false"/>
                <w:bCs w:val="false"/>
                <w:color w:val="222222"/>
                <w:sz w:val="20"/>
                <w:szCs w:val="20"/>
              </w:rPr>
              <w:t xml:space="preserve">Day 10–12</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7. Merge &amp; Finalize</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Merge validated datasets into a single master table; write data dictionary</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Processed zone: analysis-ready master dataset</w:t>
            </w:r>
          </w:p>
        </w:tc>
        <w:tc>
          <w:tcPr>
            <w:tcW w:type="dxa" w:w="2000"/>
            <w:shd w:fill="FFFFFF" w:val="clear"/>
            <w:tcMar>
              <w:top w:type="dxa" w:w="100"/>
              <w:left w:type="dxa" w:w="120"/>
              <w:bottom w:type="dxa" w:w="100"/>
              <w:right w:type="dxa" w:w="120"/>
            </w:tcMar>
            <w:vAlign w:val="center"/>
          </w:tcPr>
          <w:p>
            <w:r>
              <w:rPr>
                <w:b w:val="false"/>
                <w:bCs w:val="false"/>
                <w:color w:val="222222"/>
                <w:sz w:val="20"/>
                <w:szCs w:val="20"/>
              </w:rPr>
              <w:t xml:space="preserve">Day 12–14</w:t>
            </w:r>
          </w:p>
        </w:tc>
      </w:tr>
    </w:tbl>
    <w:p>
      <w:pPr>
        <w:spacing w:after="160" w:line="300"/>
        <w:jc w:val="both"/>
      </w:pPr>
      <w:r>
        <w:rPr>
          <w:sz w:val="22"/>
          <w:szCs w:val="22"/>
        </w:rPr>
        <w:t xml:space="preserve">Each stage produces a discrete, inspectable output (raw files, profiling reports, staged tables, validation logs, or the final master dataset), so progress can be checked and a stage re-run independently if an upstream source is updated or a validation rule is refined.</w:t>
      </w:r>
    </w:p>
    <w:p>
      <w:pPr>
        <w:pStyle w:val="Heading1"/>
        <w:pBdr>
          <w:bottom w:val="single" w:color="2E75B6" w:sz="6" w:space="4"/>
        </w:pBdr>
        <w:spacing w:after="160" w:before="360"/>
      </w:pPr>
      <w:r>
        <w:rPr>
          <w:b/>
          <w:bCs/>
          <w:color w:val="1F3864"/>
          <w:sz w:val="30"/>
          <w:szCs w:val="30"/>
        </w:rPr>
        <w:t xml:space="preserve">8. Python Libraries &amp; Tooling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Category</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Library / Tool</w:t>
            </w:r>
          </w:p>
        </w:tc>
        <w:tc>
          <w:tcPr>
            <w:tcW w:type="dxa" w:w="4000"/>
            <w:shd w:fill="1F3864" w:val="clear"/>
            <w:tcMar>
              <w:top w:type="dxa" w:w="100"/>
              <w:left w:type="dxa" w:w="120"/>
              <w:bottom w:type="dxa" w:w="100"/>
              <w:right w:type="dxa" w:w="120"/>
            </w:tcMar>
            <w:vAlign w:val="center"/>
          </w:tcPr>
          <w:p>
            <w:r>
              <w:rPr>
                <w:b/>
                <w:bCs/>
                <w:color w:val="FFFFFF"/>
                <w:sz w:val="20"/>
                <w:szCs w:val="20"/>
              </w:rPr>
              <w:t xml:space="preserve">Role in This Framework</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Extraction</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`requests`, `datagovindia`</w:t>
            </w:r>
          </w:p>
        </w:tc>
        <w:tc>
          <w:tcPr>
            <w:tcW w:type="dxa" w:w="4000"/>
            <w:shd w:fill="FFFFFF" w:val="clear"/>
            <w:tcMar>
              <w:top w:type="dxa" w:w="100"/>
              <w:left w:type="dxa" w:w="120"/>
              <w:bottom w:type="dxa" w:w="100"/>
              <w:right w:type="dxa" w:w="120"/>
            </w:tcMar>
            <w:vAlign w:val="center"/>
          </w:tcPr>
          <w:p>
            <w:r>
              <w:rPr>
                <w:b w:val="false"/>
                <w:bCs w:val="false"/>
                <w:color w:val="222222"/>
                <w:sz w:val="20"/>
                <w:szCs w:val="20"/>
              </w:rPr>
              <w:t xml:space="preserve">API calls to data.gov.in and other REST-accessible sources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Core data handling</w:t>
            </w:r>
          </w:p>
        </w:tc>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pandas</w:t>
            </w:r>
          </w:p>
        </w:tc>
        <w:tc>
          <w:tcPr>
            <w:tcW w:type="dxa" w:w="4000"/>
            <w:shd w:fill="DDEBF7" w:val="clear"/>
            <w:tcMar>
              <w:top w:type="dxa" w:w="100"/>
              <w:left w:type="dxa" w:w="120"/>
              <w:bottom w:type="dxa" w:w="100"/>
              <w:right w:type="dxa" w:w="120"/>
            </w:tcMar>
            <w:vAlign w:val="center"/>
          </w:tcPr>
          <w:p>
            <w:r>
              <w:rPr>
                <w:b w:val="false"/>
                <w:bCs w:val="false"/>
                <w:color w:val="222222"/>
                <w:sz w:val="20"/>
                <w:szCs w:val="20"/>
              </w:rPr>
              <w:t xml:space="preserve">Loading, cleaning, reshaping, merging, and profiling tabular data</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Numerical operations</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NumPy</w:t>
            </w:r>
          </w:p>
        </w:tc>
        <w:tc>
          <w:tcPr>
            <w:tcW w:type="dxa" w:w="4000"/>
            <w:shd w:fill="FFFFFF" w:val="clear"/>
            <w:tcMar>
              <w:top w:type="dxa" w:w="100"/>
              <w:left w:type="dxa" w:w="120"/>
              <w:bottom w:type="dxa" w:w="100"/>
              <w:right w:type="dxa" w:w="120"/>
            </w:tcMar>
            <w:vAlign w:val="center"/>
          </w:tcPr>
          <w:p>
            <w:r>
              <w:rPr>
                <w:b w:val="false"/>
                <w:bCs w:val="false"/>
                <w:color w:val="222222"/>
                <w:sz w:val="20"/>
                <w:szCs w:val="20"/>
              </w:rPr>
              <w:t xml:space="preserve">Vectorized computation, boolean masking for range checks, handling of numeric arrays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Preprocessing / scaling</w:t>
            </w:r>
          </w:p>
        </w:tc>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scikit-learn (`sklearn.preprocessing`)</w:t>
            </w:r>
          </w:p>
        </w:tc>
        <w:tc>
          <w:tcPr>
            <w:tcW w:type="dxa" w:w="4000"/>
            <w:shd w:fill="DDEBF7" w:val="clear"/>
            <w:tcMar>
              <w:top w:type="dxa" w:w="100"/>
              <w:left w:type="dxa" w:w="120"/>
              <w:bottom w:type="dxa" w:w="100"/>
              <w:right w:type="dxa" w:w="120"/>
            </w:tcMar>
            <w:vAlign w:val="center"/>
          </w:tcPr>
          <w:p>
            <w:r>
              <w:rPr>
                <w:b w:val="false"/>
                <w:bCs w:val="false"/>
                <w:color w:val="222222"/>
                <w:sz w:val="20"/>
                <w:szCs w:val="20"/>
              </w:rPr>
              <w:t xml:space="preserve">`SimpleImputer` for missing values, `MinMaxScaler`/`StandardScaler` for normalization, `LabelEncoder` for categorical encoding</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Schema validation</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`pandera`</w:t>
            </w:r>
          </w:p>
        </w:tc>
        <w:tc>
          <w:tcPr>
            <w:tcW w:type="dxa" w:w="4000"/>
            <w:shd w:fill="FFFFFF" w:val="clear"/>
            <w:tcMar>
              <w:top w:type="dxa" w:w="100"/>
              <w:left w:type="dxa" w:w="120"/>
              <w:bottom w:type="dxa" w:w="100"/>
              <w:right w:type="dxa" w:w="120"/>
            </w:tcMar>
            <w:vAlign w:val="center"/>
          </w:tcPr>
          <w:p>
            <w:r>
              <w:rPr>
                <w:b w:val="false"/>
                <w:bCs w:val="false"/>
                <w:color w:val="222222"/>
                <w:sz w:val="20"/>
                <w:szCs w:val="20"/>
              </w:rPr>
              <w:t xml:space="preserve">Declarative schema checks enforced as part of the pipeline</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Profiling</w:t>
            </w:r>
          </w:p>
        </w:tc>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`ydata-profiling`</w:t>
            </w:r>
          </w:p>
        </w:tc>
        <w:tc>
          <w:tcPr>
            <w:tcW w:type="dxa" w:w="4000"/>
            <w:shd w:fill="DDEBF7" w:val="clear"/>
            <w:tcMar>
              <w:top w:type="dxa" w:w="100"/>
              <w:left w:type="dxa" w:w="120"/>
              <w:bottom w:type="dxa" w:w="100"/>
              <w:right w:type="dxa" w:w="120"/>
            </w:tcMar>
            <w:vAlign w:val="center"/>
          </w:tcPr>
          <w:p>
            <w:r>
              <w:rPr>
                <w:b w:val="false"/>
                <w:bCs w:val="false"/>
                <w:color w:val="222222"/>
                <w:sz w:val="20"/>
                <w:szCs w:val="20"/>
              </w:rPr>
              <w:t xml:space="preserve">Automated exploratory profiling reports per dataset (missingness, distributions, correlations)</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Storage format</w:t>
            </w:r>
          </w:p>
        </w:tc>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Parquet (via pandas/pyarrow)</w:t>
            </w:r>
          </w:p>
        </w:tc>
        <w:tc>
          <w:tcPr>
            <w:tcW w:type="dxa" w:w="4000"/>
            <w:shd w:fill="FFFFFF" w:val="clear"/>
            <w:tcMar>
              <w:top w:type="dxa" w:w="100"/>
              <w:left w:type="dxa" w:w="120"/>
              <w:bottom w:type="dxa" w:w="100"/>
              <w:right w:type="dxa" w:w="120"/>
            </w:tcMar>
            <w:vAlign w:val="center"/>
          </w:tcPr>
          <w:p>
            <w:r>
              <w:rPr>
                <w:b w:val="false"/>
                <w:bCs w:val="false"/>
                <w:color w:val="222222"/>
                <w:sz w:val="20"/>
                <w:szCs w:val="20"/>
              </w:rPr>
              <w:t xml:space="preserve">Efficient, typed, columnar storage for staging and processed zones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Orchestration/logging</w:t>
            </w:r>
          </w:p>
        </w:tc>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Python `logging`, plain scripts</w:t>
            </w:r>
          </w:p>
        </w:tc>
        <w:tc>
          <w:tcPr>
            <w:tcW w:type="dxa" w:w="4000"/>
            <w:shd w:fill="DDEBF7" w:val="clear"/>
            <w:tcMar>
              <w:top w:type="dxa" w:w="100"/>
              <w:left w:type="dxa" w:w="120"/>
              <w:bottom w:type="dxa" w:w="100"/>
              <w:right w:type="dxa" w:w="120"/>
            </w:tcMar>
            <w:vAlign w:val="center"/>
          </w:tcPr>
          <w:p>
            <w:r>
              <w:rPr>
                <w:b w:val="false"/>
                <w:bCs w:val="false"/>
                <w:color w:val="222222"/>
                <w:sz w:val="20"/>
                <w:szCs w:val="20"/>
              </w:rPr>
              <w:t xml:space="preserve">Reproducible, auditable run logs for each pipeline stage</w:t>
            </w:r>
          </w:p>
        </w:tc>
      </w:tr>
    </w:tbl>
    <w:p>
      <w:pPr>
        <w:pStyle w:val="Heading1"/>
        <w:pBdr>
          <w:bottom w:val="single" w:color="2E75B6" w:sz="6" w:space="4"/>
        </w:pBdr>
        <w:spacing w:after="160" w:before="360"/>
      </w:pPr>
      <w:r>
        <w:rPr>
          <w:b/>
          <w:bCs/>
          <w:color w:val="1F3864"/>
          <w:sz w:val="30"/>
          <w:szCs w:val="30"/>
        </w:rPr>
        <w:t xml:space="preserve">9. Anticipated Risks &amp; Contingencies</w:t>
      </w:r>
    </w:p>
    <w:p>
      <w:pPr>
        <w:pStyle w:val="ListParagraph"/>
        <w:numPr>
          <w:ilvl w:val="0"/>
          <w:numId w:val="2"/>
        </w:numPr>
        <w:spacing w:after="90" w:line="280"/>
      </w:pPr>
      <w:r>
        <w:rPr>
          <w:sz w:val="22"/>
          <w:szCs w:val="22"/>
        </w:rPr>
        <w:t xml:space="preserve">API rate limits or temporary outages on data.gov.in — mitigated by caching successful pulls in the raw zone immediately and retrying failed calls with exponential backoff.</w:t>
      </w:r>
    </w:p>
    <w:p>
      <w:pPr>
        <w:pStyle w:val="ListParagraph"/>
        <w:numPr>
          <w:ilvl w:val="0"/>
          <w:numId w:val="2"/>
        </w:numPr>
        <w:spacing w:after="90" w:line="280"/>
      </w:pPr>
      <w:r>
        <w:rPr>
          <w:sz w:val="22"/>
          <w:szCs w:val="22"/>
        </w:rPr>
        <w:t xml:space="preserve">Source schema changes between extraction runs — mitigated by the `pandera` schema validation step, which will fail loudly rather than silently propagate a broken join.</w:t>
      </w:r>
    </w:p>
    <w:p>
      <w:pPr>
        <w:pStyle w:val="ListParagraph"/>
        <w:numPr>
          <w:ilvl w:val="0"/>
          <w:numId w:val="2"/>
        </w:numPr>
        <w:spacing w:after="90" w:line="280"/>
      </w:pPr>
      <w:r>
        <w:rPr>
          <w:sz w:val="22"/>
          <w:szCs w:val="22"/>
        </w:rPr>
        <w:t xml:space="preserve">Ambiguous or conflicting values across sources for the same metric (e.g., two different population figures) — resolved by documenting a source-of-truth precedence order per metric in the data dictionary, rather than arbitrarily averaging.</w:t>
      </w:r>
    </w:p>
    <w:p>
      <w:pPr>
        <w:pStyle w:val="ListParagraph"/>
        <w:numPr>
          <w:ilvl w:val="0"/>
          <w:numId w:val="2"/>
        </w:numPr>
        <w:spacing w:after="90" w:line="280"/>
      </w:pPr>
      <w:r>
        <w:rPr>
          <w:sz w:val="22"/>
          <w:szCs w:val="22"/>
        </w:rPr>
        <w:t xml:space="preserve">Time pressure on manual verification steps (structured web tables without an API) — mitigated by scoping manual extraction to only the smallest, highest-value tables and prioritizing API-based sources wherever available.</w:t>
      </w:r>
    </w:p>
    <w:p>
      <w:pPr>
        <w:pStyle w:val="Heading1"/>
        <w:pBdr>
          <w:bottom w:val="single" w:color="2E75B6" w:sz="6" w:space="4"/>
        </w:pBdr>
        <w:spacing w:after="160" w:before="360"/>
      </w:pPr>
      <w:r>
        <w:rPr>
          <w:b/>
          <w:bCs/>
          <w:color w:val="1F3864"/>
          <w:sz w:val="30"/>
          <w:szCs w:val="30"/>
        </w:rPr>
        <w:t xml:space="preserve">10. Conclusion</w:t>
      </w:r>
    </w:p>
    <w:p>
      <w:pPr>
        <w:spacing w:after="160" w:line="300"/>
        <w:jc w:val="both"/>
      </w:pPr>
      <w:r>
        <w:rPr>
          <w:sz w:val="22"/>
          <w:szCs w:val="22"/>
        </w:rPr>
        <w:t xml:space="preserve">This framework translates the Week 1 strategic plan into an executable, technically specified pipeline: a defined set of representative public datasets, a documented extraction and storage architecture, a Python-based preprocessing sequence covering missing values, standardization, deduplication, and scaling, and a validation layer that protects data quality before analysis begins. With this framework in place, Week 3 can proceed directly to exploratory and statistical analysis on a dataset whose provenance, cleaning steps, and quality checks are fully documented and reproducible.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Data Collection &amp; Preprocessing Framework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2026-08-19T04:34:02.919Z</dcterms:created>
  <dcterms:modified xsi:type="dcterms:W3CDTF">2026-08-19T04:34:02.932Z</dcterms:modified>
</cp:coreProperties>
</file>

<file path=docProps/custom.xml><?xml version="1.0" encoding="utf-8"?>
<Properties xmlns="http://schemas.openxmlformats.org/officeDocument/2006/custom-properties" xmlns:vt="http://schemas.openxmlformats.org/officeDocument/2006/docPropsVTypes"/>
</file>