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48"/>
          <w:szCs w:val="48"/>
        </w:rPr>
        <w:t xml:space="preserve">DATA ANALYSIS &amp;</w:t>
      </w:r>
    </w:p>
    <w:p>
      <w:pPr>
        <w:spacing w:after="60"/>
        <w:jc w:val="center"/>
      </w:pPr>
      <w:r>
        <w:rPr>
          <w:b/>
          <w:bCs/>
          <w:color w:val="1F3864"/>
          <w:sz w:val="44"/>
          <w:szCs w:val="44"/>
        </w:rPr>
        <w:t xml:space="preserve">PYTHON IMPLEMENTATION BLUEPRINT</w:t>
      </w:r>
    </w:p>
    <w:p>
      <w:pPr>
        <w:spacing w:after="400" w:before="200"/>
        <w:jc w:val="center"/>
      </w:pPr>
      <w:r>
        <w:rPr>
          <w:b/>
          <w:bCs/>
          <w:color w:val="2E75B6"/>
          <w:sz w:val="27"/>
          <w:szCs w:val="27"/>
        </w:rPr>
        <w:t xml:space="preserve">Statistical Analysis, Visualization &amp; Insight Generation for E-Governance</w:t>
      </w:r>
    </w:p>
    <w:p>
      <w:pPr>
        <w:spacing w:after="60"/>
        <w:jc w:val="center"/>
      </w:pPr>
      <w:r>
        <w:rPr>
          <w:color w:val="595959"/>
          <w:sz w:val="24"/>
          <w:szCs w:val="24"/>
        </w:rPr>
        <w:t xml:space="preserve">Week 3 Deliverable — Data Analysis &amp; Python Implementation</w:t>
      </w:r>
    </w:p>
    <w:p>
      <w:pPr>
        <w:spacing w:after="40" w:before="800"/>
        <w:jc w:val="center"/>
      </w:pPr>
      <w:r>
        <w:rPr>
          <w:b/>
          <w:bCs/>
          <w:sz w:val="22"/>
          <w:szCs w:val="22"/>
        </w:rPr>
        <w:t xml:space="preserve">Prepared by: Smrutirekha Sahoo</w:t>
      </w:r>
    </w:p>
    <w:p>
      <w:pPr>
        <w:spacing w:after="40"/>
        <w:jc w:val="center"/>
      </w:pPr>
      <w:r>
        <w:rPr>
          <w:sz w:val="22"/>
          <w:szCs w:val="22"/>
        </w:rPr>
        <w:t xml:space="preserve">Data Analyst (SQL · Python · Power BI)</w:t>
      </w:r>
    </w:p>
    <w:p>
      <w:pPr>
        <w:spacing w:after="40"/>
        <w:jc w:val="center"/>
      </w:pPr>
      <w:r>
        <w:rPr>
          <w:sz w:val="22"/>
          <w:szCs w:val="22"/>
        </w:rPr>
        <w:t xml:space="preserve">MCA, Trident Academy of Technology, Bhubaneswar</w:t>
      </w:r>
    </w:p>
    <w:p>
      <w:pPr>
        <w:spacing w:before="400"/>
        <w:jc w:val="center"/>
      </w:pPr>
      <w:r>
        <w:rPr>
          <w:color w:val="595959"/>
          <w:sz w:val="22"/>
          <w:szCs w:val="22"/>
        </w:rPr>
        <w:t xml:space="preserve">August 2026</w:t>
      </w:r>
    </w:p>
    <w:p>
      <w:pPr>
        <w:sectPr>
          <w:pgSz w:w="11906" w:h="16838" w:orient="portrait"/>
          <w:pgMar w:top="1000" w:right="1100" w:bottom="1000" w:left="110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1. Executive Summary</w:t>
      </w:r>
    </w:p>
    <w:p>
      <w:pPr>
        <w:spacing w:after="160" w:line="300"/>
        <w:jc w:val="both"/>
      </w:pPr>
      <w:r>
        <w:rPr>
          <w:sz w:val="22"/>
          <w:szCs w:val="22"/>
        </w:rPr>
        <w:t xml:space="preserve">This report presents the Week 3 blueprint for the data analysis phase of the e-governance data analysis project, translating the clean, analysis-ready dataset produced in Week 2 into a concrete plan for statistical analysis, visualization, and insight generation. It defines the key performance indicators (KPIs) that anchor the analysis, specifies the statistical methods and Python libraries to be applied to each, and walks through a simulated analytical workflow — from exploratory analysis through regression and clustering to final visualization.</w:t>
      </w:r>
    </w:p>
    <w:p>
      <w:pPr>
        <w:spacing w:after="160" w:line="300"/>
        <w:jc w:val="both"/>
      </w:pPr>
      <w:r>
        <w:rPr>
          <w:sz w:val="22"/>
          <w:szCs w:val="22"/>
        </w:rPr>
        <w:t xml:space="preserve">The plan is deliberately structured as a fusion of technical execution and analytical reasoning: each method is tied to a specific decision-relevant question about digital service adoption, and each anticipated output is mapped to the policy or operational decision it is intended to inform. A dedicated section addresses common analytical pitfalls — overfitting, spurious correlation, aggregation bias — and the preventive techniques to be applied throughout.</w:t>
      </w:r>
    </w:p>
    <w:p>
      <w:pPr>
        <w:pStyle w:val="Heading1"/>
        <w:pBdr>
          <w:bottom w:val="single" w:color="2E75B6" w:sz="6" w:space="4"/>
        </w:pBdr>
        <w:spacing w:after="160" w:before="360"/>
      </w:pPr>
      <w:r>
        <w:rPr>
          <w:b/>
          <w:bCs/>
          <w:color w:val="1F3864"/>
          <w:sz w:val="30"/>
          <w:szCs w:val="30"/>
        </w:rPr>
        <w:t xml:space="preserve">2. Analysis Objectives &amp; Key Performance Indicators</w:t>
      </w:r>
    </w:p>
    <w:p>
      <w:pPr>
        <w:spacing w:after="160" w:line="300"/>
        <w:jc w:val="both"/>
      </w:pPr>
      <w:r>
        <w:rPr>
          <w:sz w:val="22"/>
          <w:szCs w:val="22"/>
        </w:rPr>
        <w:t xml:space="preserve">The central objective of this analysis phase is to convert the cleaned Week 2 master dataset into quantified, decision-relevant insight about how digital government services are adopted, how efficiently they are delivered, and where structural gaps remain. Seven KPIs are defined to anchor every subsequent statistical method to a specific, measurable question: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KPI</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Definition</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Why It Matters for E-Governance</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Adoption Growth Rate</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Month-over-month / year-over-year % change in active users or transactions per platform (DigiLocker, UMANG, e-District)</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Direct indicator of whether digital services are gaining or losing traction with citizens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Regional Adoption Disparity</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Coefficient of variation in per-capita service usage across states/districts</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Surfaces geographic inequity in digital access, a core policy concern</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Service Turnaround Time (STT)</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Mean / median days from application to resolution for e-District and grievance services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Measures operational efficiency of digital service delivery</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Digital Penetration Index</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Composite of internet penetration, teledensity, and digital-literacy rate by region</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Contextual driver used to explain variation in adoption metrics</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Service Concentration Ratio</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Share of total transactions concentrated in top-N states/services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Flags over-reliance on a small number of high-performing regions/platforms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Citizen Segment Coverage</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Estimated % of eligible population reached by a given digital service</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Assesses equity of reach beyond raw transaction volume</w:t>
            </w:r>
          </w:p>
        </w:tc>
      </w:tr>
    </w:tbl>
    <w:p>
      <w:pPr>
        <w:spacing w:before="200"/>
      </w:pPr>
    </w:p>
    <w:p>
      <w:pPr>
        <w:spacing w:after="160" w:line="300"/>
        <w:jc w:val="both"/>
      </w:pPr>
      <w:r>
        <w:rPr>
          <w:sz w:val="22"/>
          <w:szCs w:val="22"/>
        </w:rPr>
        <w:t xml:space="preserve">Each KPI is computed directly from the processed dataset established in Week 2 (e.g., `transactions`, `avg_turnaround_days`, `internet_access_pct`), ensuring full traceability from raw source data through preprocessing to the final analytical metric.</w:t>
      </w:r>
    </w:p>
    <w:p>
      <w:pPr>
        <w:pStyle w:val="Heading1"/>
        <w:pBdr>
          <w:bottom w:val="single" w:color="2E75B6" w:sz="6" w:space="4"/>
        </w:pBdr>
        <w:spacing w:after="160" w:before="360"/>
      </w:pPr>
      <w:r>
        <w:rPr>
          <w:b/>
          <w:bCs/>
          <w:color w:val="1F3864"/>
          <w:sz w:val="30"/>
          <w:szCs w:val="30"/>
        </w:rPr>
        <w:t xml:space="preserve">3. Statistical Methods &amp; Decision-Making Approach</w:t>
      </w:r>
    </w:p>
    <w:p>
      <w:pPr>
        <w:spacing w:after="160" w:line="300"/>
        <w:jc w:val="both"/>
      </w:pPr>
      <w:r>
        <w:rPr>
          <w:sz w:val="22"/>
          <w:szCs w:val="22"/>
        </w:rPr>
        <w:t xml:space="preserve">Each statistical method below is selected for a specific analytical purpose rather than applied generically; the aim is to match the method to the question being asked (description, relationship, difference, or grouping) rather than defaulting to a single technique.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100"/>
              <w:left w:type="dxa" w:w="120"/>
              <w:bottom w:type="dxa" w:w="100"/>
              <w:right w:type="dxa" w:w="120"/>
            </w:tcMar>
            <w:vAlign w:val="center"/>
          </w:tcPr>
          <w:p>
            <w:r>
              <w:rPr>
                <w:b/>
                <w:bCs/>
                <w:color w:val="FFFFFF"/>
                <w:sz w:val="20"/>
                <w:szCs w:val="20"/>
              </w:rPr>
              <w:t xml:space="preserve">Method</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Application in This Project</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Python Implementation</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Descriptive statistics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Summarize central tendency, spread, and distribution of adoption and turnaround metrics per state/service</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pandas `.describe()`, `.groupby().agg()`</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Trend / time-series analysis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Characterize growth trajectories of DigiLocker/UMANG usage over months; detect seasonality or plateauing</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pandas resampling, `statsmodels.tsa.seasonal_decompose`</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Correlation analysis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Test relationship between digital infrastructure (teledensity) and service adoption</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`pandas.corr()`, `scipy.stats.pearsonr` / `spearmanr`</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Linear regression</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Quantify how much of the variance in adoption is explained by infrastructure and literacy variables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`statsmodels.OLS`, `sklearn.linear_model.LinearRegression`</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Hypothesis testing</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Test whether adoption differs significantly between urban-majority and rural-majority states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`scipy.stats.ttest_ind`, `mannwhitneyu` (non-parametric alternative)</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Clustering (K-Means)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Group states into adoption-maturity tiers (high/medium/low) based on multiple KPIs simultaneously</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`sklearn.cluster.KMeans`, `sklearn.preprocessing.StandardScaler`</w:t>
            </w:r>
          </w:p>
        </w:tc>
      </w:tr>
      <w:tr>
        <w:trPr>
          <w:tblHeader w:val="false"/>
        </w:trPr>
        <w:tc>
          <w:tcPr>
            <w:tcW w:type="dxa" w:w="2200"/>
            <w:shd w:fill="FFFFFF" w:val="clear"/>
            <w:tcMar>
              <w:top w:type="dxa" w:w="100"/>
              <w:left w:type="dxa" w:w="120"/>
              <w:bottom w:type="dxa" w:w="100"/>
              <w:right w:type="dxa" w:w="120"/>
            </w:tcMar>
            <w:vAlign w:val="center"/>
          </w:tcPr>
          <w:p>
            <w:r>
              <w:rPr>
                <w:b w:val="false"/>
                <w:bCs w:val="false"/>
                <w:color w:val="222222"/>
                <w:sz w:val="20"/>
                <w:szCs w:val="20"/>
              </w:rPr>
              <w:t xml:space="preserve">ANOVA</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Compare mean turnaround times across more than two service categories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`scipy.stats.f_oneway`, `statsmodels.formula.api.ols` + `anova_lm`</w:t>
            </w:r>
          </w:p>
        </w:tc>
      </w:tr>
      <w:tr>
        <w:trPr>
          <w:tblHeader w:val="false"/>
        </w:trPr>
        <w:tc>
          <w:tcPr>
            <w:tcW w:type="dxa" w:w="2200"/>
            <w:shd w:fill="DDEBF7" w:val="clear"/>
            <w:tcMar>
              <w:top w:type="dxa" w:w="100"/>
              <w:left w:type="dxa" w:w="120"/>
              <w:bottom w:type="dxa" w:w="100"/>
              <w:right w:type="dxa" w:w="120"/>
            </w:tcMar>
            <w:vAlign w:val="center"/>
          </w:tcPr>
          <w:p>
            <w:r>
              <w:rPr>
                <w:b w:val="false"/>
                <w:bCs w:val="false"/>
                <w:color w:val="222222"/>
                <w:sz w:val="20"/>
                <w:szCs w:val="20"/>
              </w:rPr>
              <w:t xml:space="preserve">Outlier &amp; anomaly detection</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Identify states/months with anomalous spikes or drops in usage warranting investigation</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IQR method, `scipy.stats.zscore`</w:t>
            </w:r>
          </w:p>
        </w:tc>
      </w:tr>
    </w:tbl>
    <w:p>
      <w:pPr>
        <w:pStyle w:val="Heading2"/>
        <w:spacing w:after="120" w:before="280"/>
      </w:pPr>
      <w:r>
        <w:rPr>
          <w:b/>
          <w:bCs/>
          <w:color w:val="2E75B6"/>
          <w:sz w:val="25"/>
          <w:szCs w:val="25"/>
        </w:rPr>
        <w:t xml:space="preserve">3.1 Decision-Making Logic</w:t>
      </w:r>
    </w:p>
    <w:p>
      <w:pPr>
        <w:pStyle w:val="ListParagraph"/>
        <w:numPr>
          <w:ilvl w:val="0"/>
          <w:numId w:val="2"/>
        </w:numPr>
        <w:spacing w:after="90" w:line="280"/>
      </w:pPr>
      <w:r>
        <w:rPr>
          <w:sz w:val="22"/>
          <w:szCs w:val="22"/>
        </w:rPr>
        <w:t xml:space="preserve">Descriptive statistics and EDA are always performed first, establishing a factual baseline before any inferential claim is made.</w:t>
      </w:r>
    </w:p>
    <w:p>
      <w:pPr>
        <w:pStyle w:val="ListParagraph"/>
        <w:numPr>
          <w:ilvl w:val="0"/>
          <w:numId w:val="2"/>
        </w:numPr>
        <w:spacing w:after="90" w:line="280"/>
      </w:pPr>
      <w:r>
        <w:rPr>
          <w:sz w:val="22"/>
          <w:szCs w:val="22"/>
        </w:rPr>
        <w:t xml:space="preserve">Correlation is used to screen candidate relationships; only variables showing a meaningful, theoretically plausible correlation are carried into regression modeling, avoiding an uninterpretable 'kitchen-sink' regression.</w:t>
      </w:r>
    </w:p>
    <w:p>
      <w:pPr>
        <w:pStyle w:val="ListParagraph"/>
        <w:numPr>
          <w:ilvl w:val="0"/>
          <w:numId w:val="2"/>
        </w:numPr>
        <w:spacing w:after="90" w:line="280"/>
      </w:pPr>
      <w:r>
        <w:rPr>
          <w:sz w:val="22"/>
          <w:szCs w:val="22"/>
        </w:rPr>
        <w:t xml:space="preserve">Hypothesis tests (t-test/ANOVA) are used specifically when comparing predefined groups (e.g., urban vs. rural states, service categories), with the appropriate parametric or non-parametric test chosen based on a prior normality/variance check.</w:t>
      </w:r>
    </w:p>
    <w:p>
      <w:pPr>
        <w:pStyle w:val="ListParagraph"/>
        <w:numPr>
          <w:ilvl w:val="0"/>
          <w:numId w:val="2"/>
        </w:numPr>
        <w:spacing w:after="90" w:line="280"/>
      </w:pPr>
      <w:r>
        <w:rPr>
          <w:sz w:val="22"/>
          <w:szCs w:val="22"/>
        </w:rPr>
        <w:t xml:space="preserve">Clustering is used only for unsupervised grouping questions (e.g., 'which states behave similarly across multiple KPIs at once') where no predefined groups exist — not as a substitute for hypothesis testing.</w:t>
      </w:r>
    </w:p>
    <w:p>
      <w:pPr>
        <w:pStyle w:val="Heading1"/>
        <w:pBdr>
          <w:bottom w:val="single" w:color="2E75B6" w:sz="6" w:space="4"/>
        </w:pBdr>
        <w:spacing w:after="160" w:before="360"/>
      </w:pPr>
      <w:r>
        <w:rPr>
          <w:b/>
          <w:bCs/>
          <w:color w:val="1F3864"/>
          <w:sz w:val="30"/>
          <w:szCs w:val="30"/>
        </w:rPr>
        <w:t xml:space="preserve">4. Python Implementation Plan</w:t>
      </w:r>
    </w:p>
    <w:p>
      <w:pPr>
        <w:pStyle w:val="Heading2"/>
        <w:spacing w:after="120" w:before="280"/>
      </w:pPr>
      <w:r>
        <w:rPr>
          <w:b/>
          <w:bCs/>
          <w:color w:val="2E75B6"/>
          <w:sz w:val="25"/>
          <w:szCs w:val="25"/>
        </w:rPr>
        <w:t xml:space="preserve">4.1 Exploratory Data Analysis</w:t>
      </w:r>
    </w:p>
    <w:p>
      <w:pPr>
        <w:spacing w:after="160" w:line="300"/>
        <w:jc w:val="both"/>
      </w:pPr>
      <w:r>
        <w:rPr>
          <w:sz w:val="22"/>
          <w:szCs w:val="22"/>
        </w:rPr>
        <w:t xml:space="preserve">EDA begins with `pandas` and `seaborn` to characterize distributions and surface early patterns before any formal modeling:</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import pandas as pd, seaborn as sns, matplotlib.pyplot as plt</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df = pd.read_parquet("data/processed/egov_master.parquet")</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summary = df.groupby("state")[["transactions",</w:t>
      </w:r>
      <w:r>
        <w:rPr>
          <w:rFonts w:ascii="Consolas" w:cs="Consolas" w:eastAsia="Consolas" w:hAnsi="Consolas"/>
          <w:color w:val="203864"/>
          <w:sz w:val="18"/>
          <w:szCs w:val="18"/>
        </w:rPr>
        <w:br/>
        <w:t xml:space="preserve">    "avg_turnaround_days", "internet_access_pct"]].describe()</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sns.histplot(df["transactions"], kde=True)</w:t>
      </w:r>
      <w:r>
        <w:rPr>
          <w:rFonts w:ascii="Consolas" w:cs="Consolas" w:eastAsia="Consolas" w:hAnsi="Consolas"/>
          <w:color w:val="203864"/>
          <w:sz w:val="18"/>
          <w:szCs w:val="18"/>
        </w:rPr>
        <w:br/>
        <w:t xml:space="preserve">plt.title("Distribution of Monthly Digital Service Transactions")</w:t>
      </w:r>
      <w:r>
        <w:rPr>
          <w:rFonts w:ascii="Consolas" w:cs="Consolas" w:eastAsia="Consolas" w:hAnsi="Consolas"/>
          <w:color w:val="203864"/>
          <w:sz w:val="18"/>
          <w:szCs w:val="18"/>
        </w:rPr>
        <w:br/>
        <w:t xml:space="preserve">plt.savefig("outputs/transactions_distribution.png", dpi=150)</w:t>
      </w:r>
    </w:p>
    <w:p>
      <w:pPr>
        <w:pStyle w:val="Heading2"/>
        <w:spacing w:after="120" w:before="280"/>
      </w:pPr>
      <w:r>
        <w:rPr>
          <w:b/>
          <w:bCs/>
          <w:color w:val="2E75B6"/>
          <w:sz w:val="25"/>
          <w:szCs w:val="25"/>
        </w:rPr>
        <w:t xml:space="preserve">4.2 Correlation Analysis</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from scipy.stats import pearsonr</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corr_matrix = df[["transactions", "internet_access_pct",</w:t>
      </w:r>
      <w:r>
        <w:rPr>
          <w:rFonts w:ascii="Consolas" w:cs="Consolas" w:eastAsia="Consolas" w:hAnsi="Consolas"/>
          <w:color w:val="203864"/>
          <w:sz w:val="18"/>
          <w:szCs w:val="18"/>
        </w:rPr>
        <w:br/>
        <w:t xml:space="preserve">                  "literacy_rate", "avg_turnaround_days"]].corr()</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sns.heatmap(corr_matrix, annot=True, cmap="Blues", vmin=-1, vmax=1)</w:t>
      </w:r>
      <w:r>
        <w:rPr>
          <w:rFonts w:ascii="Consolas" w:cs="Consolas" w:eastAsia="Consolas" w:hAnsi="Consolas"/>
          <w:color w:val="203864"/>
          <w:sz w:val="18"/>
          <w:szCs w:val="18"/>
        </w:rPr>
        <w:br/>
        <w:t xml:space="preserve">plt.title("Correlation: Adoption vs. Infrastructure &amp; Literacy")</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r, p_value = pearsonr(df["internet_access_pct"], df["transactions"])</w:t>
      </w:r>
      <w:r>
        <w:rPr>
          <w:rFonts w:ascii="Consolas" w:cs="Consolas" w:eastAsia="Consolas" w:hAnsi="Consolas"/>
          <w:color w:val="203864"/>
          <w:sz w:val="18"/>
          <w:szCs w:val="18"/>
        </w:rPr>
        <w:br/>
        <w:t xml:space="preserve">print(f"Pearson r = {r:.2f}, p = {p_value:.4f}")</w:t>
      </w:r>
    </w:p>
    <w:p>
      <w:pPr>
        <w:pStyle w:val="Heading2"/>
        <w:spacing w:after="120" w:before="280"/>
      </w:pPr>
      <w:r>
        <w:rPr>
          <w:b/>
          <w:bCs/>
          <w:color w:val="2E75B6"/>
          <w:sz w:val="25"/>
          <w:szCs w:val="25"/>
        </w:rPr>
        <w:t xml:space="preserve">4.3 Regression Analysis</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import statsmodels.api as sm</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X = df[["internet_access_pct", "literacy_rate"]]</w:t>
      </w:r>
      <w:r>
        <w:rPr>
          <w:rFonts w:ascii="Consolas" w:cs="Consolas" w:eastAsia="Consolas" w:hAnsi="Consolas"/>
          <w:color w:val="203864"/>
          <w:sz w:val="18"/>
          <w:szCs w:val="18"/>
        </w:rPr>
        <w:br/>
        <w:t xml:space="preserve">X = sm.add_constant(X)</w:t>
      </w:r>
      <w:r>
        <w:rPr>
          <w:rFonts w:ascii="Consolas" w:cs="Consolas" w:eastAsia="Consolas" w:hAnsi="Consolas"/>
          <w:color w:val="203864"/>
          <w:sz w:val="18"/>
          <w:szCs w:val="18"/>
        </w:rPr>
        <w:br/>
        <w:t xml:space="preserve">y = df["transactions_scaled"]</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model = sm.OLS(y, X).fit()</w:t>
      </w:r>
      <w:r>
        <w:rPr>
          <w:rFonts w:ascii="Consolas" w:cs="Consolas" w:eastAsia="Consolas" w:hAnsi="Consolas"/>
          <w:color w:val="203864"/>
          <w:sz w:val="18"/>
          <w:szCs w:val="18"/>
        </w:rPr>
        <w:br/>
        <w:t xml:space="preserve">print(model.summary())</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Residual diagnostics</w:t>
      </w:r>
      <w:r>
        <w:rPr>
          <w:rFonts w:ascii="Consolas" w:cs="Consolas" w:eastAsia="Consolas" w:hAnsi="Consolas"/>
          <w:color w:val="203864"/>
          <w:sz w:val="18"/>
          <w:szCs w:val="18"/>
        </w:rPr>
        <w:br/>
        <w:t xml:space="preserve">sm.qqplot(model.resid, line="45")</w:t>
      </w:r>
      <w:r>
        <w:rPr>
          <w:rFonts w:ascii="Consolas" w:cs="Consolas" w:eastAsia="Consolas" w:hAnsi="Consolas"/>
          <w:color w:val="203864"/>
          <w:sz w:val="18"/>
          <w:szCs w:val="18"/>
        </w:rPr>
        <w:br/>
        <w:t xml:space="preserve">plt.title("Q-Q Plot of Regression Residuals")</w:t>
      </w:r>
    </w:p>
    <w:p>
      <w:pPr>
        <w:pStyle w:val="Heading2"/>
        <w:spacing w:after="120" w:before="280"/>
      </w:pPr>
      <w:r>
        <w:rPr>
          <w:b/>
          <w:bCs/>
          <w:color w:val="2E75B6"/>
          <w:sz w:val="25"/>
          <w:szCs w:val="25"/>
        </w:rPr>
        <w:t xml:space="preserve">4.4 Hypothesis Testing</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from scipy.stats import shapiro, levene, ttest_ind, mannwhitneyu</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urban = df[df["region_tier"] == "urban_majority"]["transactions"]</w:t>
      </w:r>
      <w:r>
        <w:rPr>
          <w:rFonts w:ascii="Consolas" w:cs="Consolas" w:eastAsia="Consolas" w:hAnsi="Consolas"/>
          <w:color w:val="203864"/>
          <w:sz w:val="18"/>
          <w:szCs w:val="18"/>
        </w:rPr>
        <w:br/>
        <w:t xml:space="preserve">rural = df[df["region_tier"] == "rural_majority"]["transactions"]</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Check assumptions before choosing the test</w:t>
      </w:r>
      <w:r>
        <w:rPr>
          <w:rFonts w:ascii="Consolas" w:cs="Consolas" w:eastAsia="Consolas" w:hAnsi="Consolas"/>
          <w:color w:val="203864"/>
          <w:sz w:val="18"/>
          <w:szCs w:val="18"/>
        </w:rPr>
        <w:br/>
        <w:t xml:space="preserve">normal_ok = shapiro(urban).pvalue &gt; 0.05 and shapiro(rural).pvalue &gt; 0.05</w:t>
      </w:r>
      <w:r>
        <w:rPr>
          <w:rFonts w:ascii="Consolas" w:cs="Consolas" w:eastAsia="Consolas" w:hAnsi="Consolas"/>
          <w:color w:val="203864"/>
          <w:sz w:val="18"/>
          <w:szCs w:val="18"/>
        </w:rPr>
        <w:br/>
        <w:t xml:space="preserve">equal_var = levene(urban, rural).pvalue &gt; 0.05</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if normal_ok:</w:t>
      </w:r>
      <w:r>
        <w:rPr>
          <w:rFonts w:ascii="Consolas" w:cs="Consolas" w:eastAsia="Consolas" w:hAnsi="Consolas"/>
          <w:color w:val="203864"/>
          <w:sz w:val="18"/>
          <w:szCs w:val="18"/>
        </w:rPr>
        <w:br/>
        <w:t xml:space="preserve">    stat, p_value = ttest_ind(urban, rural, equal_var=equal_var)</w:t>
      </w:r>
      <w:r>
        <w:rPr>
          <w:rFonts w:ascii="Consolas" w:cs="Consolas" w:eastAsia="Consolas" w:hAnsi="Consolas"/>
          <w:color w:val="203864"/>
          <w:sz w:val="18"/>
          <w:szCs w:val="18"/>
        </w:rPr>
        <w:br/>
        <w:t xml:space="preserve">else:</w:t>
      </w:r>
      <w:r>
        <w:rPr>
          <w:rFonts w:ascii="Consolas" w:cs="Consolas" w:eastAsia="Consolas" w:hAnsi="Consolas"/>
          <w:color w:val="203864"/>
          <w:sz w:val="18"/>
          <w:szCs w:val="18"/>
        </w:rPr>
        <w:br/>
        <w:t xml:space="preserve">    stat, p_value = mannwhitneyu(urban, rural)</w:t>
      </w:r>
    </w:p>
    <w:p>
      <w:pPr>
        <w:pStyle w:val="Heading2"/>
        <w:spacing w:after="120" w:before="280"/>
      </w:pPr>
      <w:r>
        <w:rPr>
          <w:b/>
          <w:bCs/>
          <w:color w:val="2E75B6"/>
          <w:sz w:val="25"/>
          <w:szCs w:val="25"/>
        </w:rPr>
        <w:t xml:space="preserve">4.5 Clustering (Adoption-Maturity Segmentation)</w:t>
      </w:r>
    </w:p>
    <w:p>
      <w:pPr>
        <w:pBdr>
          <w:top w:val="single" w:color="BFBFBF" w:sz="2" w:space="4"/>
          <w:bottom w:val="single" w:color="BFBFBF" w:sz="2" w:space="4"/>
          <w:left w:val="single" w:color="BFBFBF" w:sz="2" w:space="4"/>
          <w:right w:val="single" w:color="BFBFBF" w:sz="2" w:space="4"/>
        </w:pBdr>
        <w:shd w:fill="F2F2F2" w:val="clear"/>
        <w:spacing w:after="200" w:line="260"/>
        <w:ind w:left="120" w:right="120"/>
      </w:pPr>
      <w:r>
        <w:rPr>
          <w:rFonts w:ascii="Consolas" w:cs="Consolas" w:eastAsia="Consolas" w:hAnsi="Consolas"/>
          <w:color w:val="203864"/>
          <w:sz w:val="18"/>
          <w:szCs w:val="18"/>
        </w:rPr>
        <w:t xml:space="preserve">from sklearn.preprocessing import StandardScaler</w:t>
      </w:r>
      <w:r>
        <w:rPr>
          <w:rFonts w:ascii="Consolas" w:cs="Consolas" w:eastAsia="Consolas" w:hAnsi="Consolas"/>
          <w:color w:val="203864"/>
          <w:sz w:val="18"/>
          <w:szCs w:val="18"/>
        </w:rPr>
        <w:br/>
        <w:t xml:space="preserve">from sklearn.cluster import KMeans</w:t>
      </w:r>
      <w:r>
        <w:rPr>
          <w:rFonts w:ascii="Consolas" w:cs="Consolas" w:eastAsia="Consolas" w:hAnsi="Consolas"/>
          <w:color w:val="203864"/>
          <w:sz w:val="18"/>
          <w:szCs w:val="18"/>
        </w:rPr>
        <w:br/>
        <w:t xml:space="preserve">from sklearn.metrics import silhouette_score</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features = df[["transactions_scaled", "avg_turnaround_days",</w:t>
      </w:r>
      <w:r>
        <w:rPr>
          <w:rFonts w:ascii="Consolas" w:cs="Consolas" w:eastAsia="Consolas" w:hAnsi="Consolas"/>
          <w:color w:val="203864"/>
          <w:sz w:val="18"/>
          <w:szCs w:val="18"/>
        </w:rPr>
        <w:br/>
        <w:t xml:space="preserve">               "internet_access_pct"]].dropna()</w:t>
      </w:r>
      <w:r>
        <w:rPr>
          <w:rFonts w:ascii="Consolas" w:cs="Consolas" w:eastAsia="Consolas" w:hAnsi="Consolas"/>
          <w:color w:val="203864"/>
          <w:sz w:val="18"/>
          <w:szCs w:val="18"/>
        </w:rPr>
        <w:br/>
        <w:t xml:space="preserve">X_scaled = StandardScaler().fit_transform(features)</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 Determine K via silhouette score</w:t>
      </w:r>
      <w:r>
        <w:rPr>
          <w:rFonts w:ascii="Consolas" w:cs="Consolas" w:eastAsia="Consolas" w:hAnsi="Consolas"/>
          <w:color w:val="203864"/>
          <w:sz w:val="18"/>
          <w:szCs w:val="18"/>
        </w:rPr>
        <w:br/>
        <w:t xml:space="preserve">scores = {k: silhouette_score(X_scaled, KMeans(k, n_init=10, random_state=42)</w:t>
      </w:r>
      <w:r>
        <w:rPr>
          <w:rFonts w:ascii="Consolas" w:cs="Consolas" w:eastAsia="Consolas" w:hAnsi="Consolas"/>
          <w:color w:val="203864"/>
          <w:sz w:val="18"/>
          <w:szCs w:val="18"/>
        </w:rPr>
        <w:br/>
        <w:t xml:space="preserve">          .fit_predict(X_scaled)) for k in range(2, 6)}</w:t>
      </w:r>
      <w:r>
        <w:rPr>
          <w:rFonts w:ascii="Consolas" w:cs="Consolas" w:eastAsia="Consolas" w:hAnsi="Consolas"/>
          <w:color w:val="203864"/>
          <w:sz w:val="18"/>
          <w:szCs w:val="18"/>
        </w:rPr>
        <w:br/>
        <w:t xml:space="preserve">best_k = max(scores, key=scores.get)</w:t>
      </w:r>
      <w:r>
        <w:rPr>
          <w:rFonts w:ascii="Consolas" w:cs="Consolas" w:eastAsia="Consolas" w:hAnsi="Consolas"/>
          <w:color w:val="203864"/>
          <w:sz w:val="18"/>
          <w:szCs w:val="18"/>
        </w:rPr>
        <w:br/>
        <w:t xml:space="preserve"/>
      </w:r>
      <w:r>
        <w:rPr>
          <w:rFonts w:ascii="Consolas" w:cs="Consolas" w:eastAsia="Consolas" w:hAnsi="Consolas"/>
          <w:color w:val="203864"/>
          <w:sz w:val="18"/>
          <w:szCs w:val="18"/>
        </w:rPr>
        <w:br/>
        <w:t xml:space="preserve">kmeans = KMeans(n_clusters=best_k, n_init=10, random_state=42)</w:t>
      </w:r>
      <w:r>
        <w:rPr>
          <w:rFonts w:ascii="Consolas" w:cs="Consolas" w:eastAsia="Consolas" w:hAnsi="Consolas"/>
          <w:color w:val="203864"/>
          <w:sz w:val="18"/>
          <w:szCs w:val="18"/>
        </w:rPr>
        <w:br/>
        <w:t xml:space="preserve">df.loc[features.index, "adoption_tier"] = kmeans.fit_predict(X_scaled)</w:t>
      </w:r>
    </w:p>
    <w:p>
      <w:pPr>
        <w:pStyle w:val="Heading1"/>
        <w:pBdr>
          <w:bottom w:val="single" w:color="2E75B6" w:sz="6" w:space="4"/>
        </w:pBdr>
        <w:spacing w:after="160" w:before="360"/>
      </w:pPr>
      <w:r>
        <w:rPr>
          <w:b/>
          <w:bCs/>
          <w:color w:val="1F3864"/>
          <w:sz w:val="30"/>
          <w:szCs w:val="30"/>
        </w:rPr>
        <w:t xml:space="preserve">5. Anticipated Outputs &amp; Decision Value</w:t>
      </w:r>
    </w:p>
    <w:p>
      <w:pPr>
        <w:spacing w:after="160" w:line="300"/>
        <w:jc w:val="both"/>
      </w:pPr>
      <w:r>
        <w:rPr>
          <w:sz w:val="22"/>
          <w:szCs w:val="22"/>
        </w:rPr>
        <w:t xml:space="preserve">Every analytical output produced by this pipeline is tied explicitly to a decision it is meant to inform, so that the analysis phase yields actionable insight rather than exploratory charts for their own sake.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100"/>
              <w:left w:type="dxa" w:w="120"/>
              <w:bottom w:type="dxa" w:w="100"/>
              <w:right w:type="dxa" w:w="120"/>
            </w:tcMar>
            <w:vAlign w:val="center"/>
          </w:tcPr>
          <w:p>
            <w:r>
              <w:rPr>
                <w:b/>
                <w:bCs/>
                <w:color w:val="FFFFFF"/>
                <w:sz w:val="20"/>
                <w:szCs w:val="20"/>
              </w:rPr>
              <w:t xml:space="preserve">Output Type</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Example in This Project</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Decision It Supports</w:t>
            </w:r>
          </w:p>
        </w:tc>
      </w:tr>
      <w:tr>
        <w:trPr>
          <w:tblHeader w:val="false"/>
        </w:trPr>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Time-series line chart</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Monthly DigiLocker/UMANG transaction trend, 2022–2026</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Detect whether recent policy interventions coincide with adoption inflection points</w:t>
            </w:r>
          </w:p>
        </w:tc>
      </w:tr>
      <w:tr>
        <w:trPr>
          <w:tblHeader w:val="false"/>
        </w:trPr>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Choropleth / regional bar chart</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State-wise per-capita e-District usage</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Prioritize states for outreach or infrastructure investment</w:t>
            </w:r>
          </w:p>
        </w:tc>
      </w:tr>
      <w:tr>
        <w:trPr>
          <w:tblHeader w:val="false"/>
        </w:trPr>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Correlation heatmap</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Pairwise correlation of adoption, teledensity, literacy, turnaround time</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Identify which structural factors most strongly relate to adoption</w:t>
            </w:r>
          </w:p>
        </w:tc>
      </w:tr>
      <w:tr>
        <w:trPr>
          <w:tblHeader w:val="false"/>
        </w:trPr>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Box plots by category</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Turnaround-time distribution by service type</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Flag service categories with high variability needing process standardization</w:t>
            </w:r>
          </w:p>
        </w:tc>
      </w:tr>
      <w:tr>
        <w:trPr>
          <w:tblHeader w:val="false"/>
        </w:trPr>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Cluster scatter plot</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States plotted by adoption tier (K-Means clusters) on two principal KPIs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Target differentiated policy interventions per adoption-maturity tier</w:t>
            </w:r>
          </w:p>
        </w:tc>
      </w:tr>
      <w:tr>
        <w:trPr>
          <w:tblHeader w:val="false"/>
        </w:trPr>
        <w:tc>
          <w:tcPr>
            <w:tcW w:type="dxa" w:w="2600"/>
            <w:shd w:fill="DDEBF7" w:val="clear"/>
            <w:tcMar>
              <w:top w:type="dxa" w:w="100"/>
              <w:left w:type="dxa" w:w="120"/>
              <w:bottom w:type="dxa" w:w="100"/>
              <w:right w:type="dxa" w:w="120"/>
            </w:tcMar>
            <w:vAlign w:val="center"/>
          </w:tcPr>
          <w:p>
            <w:r>
              <w:rPr>
                <w:b w:val="false"/>
                <w:bCs w:val="false"/>
                <w:color w:val="222222"/>
                <w:sz w:val="20"/>
                <w:szCs w:val="20"/>
              </w:rPr>
              <w:t xml:space="preserve">Regression summary table</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OLS coefficients and significance for infrastructure → adoption model</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Justify infrastructure investment as a lever for improving adoption</w:t>
            </w:r>
          </w:p>
        </w:tc>
      </w:tr>
      <w:tr>
        <w:trPr>
          <w:tblHeader w:val="false"/>
        </w:trPr>
        <w:tc>
          <w:tcPr>
            <w:tcW w:type="dxa" w:w="2600"/>
            <w:shd w:fill="FFFFFF" w:val="clear"/>
            <w:tcMar>
              <w:top w:type="dxa" w:w="100"/>
              <w:left w:type="dxa" w:w="120"/>
              <w:bottom w:type="dxa" w:w="100"/>
              <w:right w:type="dxa" w:w="120"/>
            </w:tcMar>
            <w:vAlign w:val="center"/>
          </w:tcPr>
          <w:p>
            <w:r>
              <w:rPr>
                <w:b w:val="false"/>
                <w:bCs w:val="false"/>
                <w:color w:val="222222"/>
                <w:sz w:val="20"/>
                <w:szCs w:val="20"/>
              </w:rPr>
              <w:t xml:space="preserve">Summary statistics dashboard (Power BI)</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KPI scorecards with drill-down by state/service/month</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Give non-technical stakeholders a self-serve view for ongoing monitoring</w:t>
            </w:r>
          </w:p>
        </w:tc>
      </w:tr>
    </w:tbl>
    <w:p>
      <w:pPr>
        <w:pStyle w:val="Heading1"/>
        <w:pBdr>
          <w:bottom w:val="single" w:color="2E75B6" w:sz="6" w:space="4"/>
        </w:pBdr>
        <w:spacing w:after="160" w:before="360"/>
      </w:pPr>
      <w:r>
        <w:rPr>
          <w:b/>
          <w:bCs/>
          <w:color w:val="1F3864"/>
          <w:sz w:val="30"/>
          <w:szCs w:val="30"/>
        </w:rPr>
        <w:t xml:space="preserve">6. Potential Pitfalls &amp; Preventive Techniques</w:t>
      </w:r>
    </w:p>
    <w:p>
      <w:pPr>
        <w:spacing w:after="160" w:line="300"/>
        <w:jc w:val="both"/>
      </w:pPr>
      <w:r>
        <w:rPr>
          <w:sz w:val="22"/>
          <w:szCs w:val="22"/>
        </w:rPr>
        <w:t xml:space="preserve">Statistical analysis of public-sector data carries specific risks of misinterpretation, particularly when findings are intended to inform policy. The following pitfalls are anticipated and addressed proactively rather than after the fact.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rPr>
          <w:tblHeader/>
        </w:trPr>
        <w:tc>
          <w:tcPr>
            <w:tcW w:type="dxa" w:w="2400"/>
            <w:shd w:fill="1F3864" w:val="clear"/>
            <w:tcMar>
              <w:top w:type="dxa" w:w="100"/>
              <w:left w:type="dxa" w:w="120"/>
              <w:bottom w:type="dxa" w:w="100"/>
              <w:right w:type="dxa" w:w="120"/>
            </w:tcMar>
            <w:vAlign w:val="center"/>
          </w:tcPr>
          <w:p>
            <w:r>
              <w:rPr>
                <w:b/>
                <w:bCs/>
                <w:color w:val="FFFFFF"/>
                <w:sz w:val="20"/>
                <w:szCs w:val="20"/>
              </w:rPr>
              <w:t xml:space="preserve">Pitfall</w:t>
            </w:r>
          </w:p>
        </w:tc>
        <w:tc>
          <w:tcPr>
            <w:tcW w:type="dxa" w:w="3400"/>
            <w:shd w:fill="1F3864" w:val="clear"/>
            <w:tcMar>
              <w:top w:type="dxa" w:w="100"/>
              <w:left w:type="dxa" w:w="120"/>
              <w:bottom w:type="dxa" w:w="100"/>
              <w:right w:type="dxa" w:w="120"/>
            </w:tcMar>
            <w:vAlign w:val="center"/>
          </w:tcPr>
          <w:p>
            <w:r>
              <w:rPr>
                <w:b/>
                <w:bCs/>
                <w:color w:val="FFFFFF"/>
                <w:sz w:val="20"/>
                <w:szCs w:val="20"/>
              </w:rPr>
              <w:t xml:space="preserve">Risk in This Context</w:t>
            </w:r>
          </w:p>
        </w:tc>
        <w:tc>
          <w:tcPr>
            <w:tcW w:type="dxa" w:w="3600"/>
            <w:shd w:fill="1F3864" w:val="clear"/>
            <w:tcMar>
              <w:top w:type="dxa" w:w="100"/>
              <w:left w:type="dxa" w:w="120"/>
              <w:bottom w:type="dxa" w:w="100"/>
              <w:right w:type="dxa" w:w="120"/>
            </w:tcMar>
            <w:vAlign w:val="center"/>
          </w:tcPr>
          <w:p>
            <w:r>
              <w:rPr>
                <w:b/>
                <w:bCs/>
                <w:color w:val="FFFFFF"/>
                <w:sz w:val="20"/>
                <w:szCs w:val="20"/>
              </w:rPr>
              <w:t xml:space="preserve">Preventive Technique</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Overfitting in regression models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A model with too many predictors relative to state-level sample size fits noise, not signal</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Keep the feature set parsimonious; use adjusted R², cross-validation, and hold-out validation where sample size allows</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Confusing correlation with causation</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High correlation between internet penetration and adoption does not prove infrastructure causes adoption</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Frame regression findings as associative; explicitly discuss confounders (e.g., urbanization) rather than asserting causality</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Selection / survivorship bias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Analyzing only states with complete published data may skew findings toward better-performing states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Report data-completeness rates per state; flag any states excluded from a given analysis and why</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Simpson's paradox / aggregation bias</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National-level trends can mask opposite trends within individual states</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Always validate an aggregate finding by re-checking it at the state/district level before drawing conclusions</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Inappropriate use of parametric tests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T-tests/ANOVA assume normality and equal variance, which small or skewed public-sector samples may violate</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Check assumptions (Shapiro-Wilk, Levene's test) before applying parametric tests; use non-parametric alternatives when violated</w:t>
            </w:r>
          </w:p>
        </w:tc>
      </w:tr>
      <w:tr>
        <w:trPr>
          <w:tblHeader w:val="false"/>
        </w:trPr>
        <w:tc>
          <w:tcPr>
            <w:tcW w:type="dxa" w:w="2400"/>
            <w:shd w:fill="DDEBF7" w:val="clear"/>
            <w:tcMar>
              <w:top w:type="dxa" w:w="100"/>
              <w:left w:type="dxa" w:w="120"/>
              <w:bottom w:type="dxa" w:w="100"/>
              <w:right w:type="dxa" w:w="120"/>
            </w:tcMar>
            <w:vAlign w:val="center"/>
          </w:tcPr>
          <w:p>
            <w:r>
              <w:rPr>
                <w:b w:val="false"/>
                <w:bCs w:val="false"/>
                <w:color w:val="222222"/>
                <w:sz w:val="20"/>
                <w:szCs w:val="20"/>
              </w:rPr>
              <w:t xml:space="preserve">Cluster count arbitrariness (K-Means)</w:t>
            </w:r>
          </w:p>
        </w:tc>
        <w:tc>
          <w:tcPr>
            <w:tcW w:type="dxa" w:w="3400"/>
            <w:shd w:fill="DDEBF7" w:val="clear"/>
            <w:tcMar>
              <w:top w:type="dxa" w:w="100"/>
              <w:left w:type="dxa" w:w="120"/>
              <w:bottom w:type="dxa" w:w="100"/>
              <w:right w:type="dxa" w:w="120"/>
            </w:tcMar>
            <w:vAlign w:val="center"/>
          </w:tcPr>
          <w:p>
            <w:r>
              <w:rPr>
                <w:b w:val="false"/>
                <w:bCs w:val="false"/>
                <w:color w:val="222222"/>
                <w:sz w:val="20"/>
                <w:szCs w:val="20"/>
              </w:rPr>
              <w:t xml:space="preserve">Choosing K without justification can produce clusters that are statistically meaningless or unstable</w:t>
            </w:r>
          </w:p>
        </w:tc>
        <w:tc>
          <w:tcPr>
            <w:tcW w:type="dxa" w:w="3600"/>
            <w:shd w:fill="DDEBF7" w:val="clear"/>
            <w:tcMar>
              <w:top w:type="dxa" w:w="100"/>
              <w:left w:type="dxa" w:w="120"/>
              <w:bottom w:type="dxa" w:w="100"/>
              <w:right w:type="dxa" w:w="120"/>
            </w:tcMar>
            <w:vAlign w:val="center"/>
          </w:tcPr>
          <w:p>
            <w:r>
              <w:rPr>
                <w:b w:val="false"/>
                <w:bCs w:val="false"/>
                <w:color w:val="222222"/>
                <w:sz w:val="20"/>
                <w:szCs w:val="20"/>
              </w:rPr>
              <w:t xml:space="preserve">Use the elbow method and silhouette scores to justify the chosen number of clusters</w:t>
            </w:r>
          </w:p>
        </w:tc>
      </w:tr>
      <w:tr>
        <w:trPr>
          <w:tblHeader w:val="false"/>
        </w:trPr>
        <w:tc>
          <w:tcPr>
            <w:tcW w:type="dxa" w:w="2400"/>
            <w:shd w:fill="FFFFFF" w:val="clear"/>
            <w:tcMar>
              <w:top w:type="dxa" w:w="100"/>
              <w:left w:type="dxa" w:w="120"/>
              <w:bottom w:type="dxa" w:w="100"/>
              <w:right w:type="dxa" w:w="120"/>
            </w:tcMar>
            <w:vAlign w:val="center"/>
          </w:tcPr>
          <w:p>
            <w:r>
              <w:rPr>
                <w:b w:val="false"/>
                <w:bCs w:val="false"/>
                <w:color w:val="222222"/>
                <w:sz w:val="20"/>
                <w:szCs w:val="20"/>
              </w:rPr>
              <w:t xml:space="preserve">Misleading visualization scales</w:t>
            </w:r>
          </w:p>
        </w:tc>
        <w:tc>
          <w:tcPr>
            <w:tcW w:type="dxa" w:w="3400"/>
            <w:shd w:fill="FFFFFF" w:val="clear"/>
            <w:tcMar>
              <w:top w:type="dxa" w:w="100"/>
              <w:left w:type="dxa" w:w="120"/>
              <w:bottom w:type="dxa" w:w="100"/>
              <w:right w:type="dxa" w:w="120"/>
            </w:tcMar>
            <w:vAlign w:val="center"/>
          </w:tcPr>
          <w:p>
            <w:r>
              <w:rPr>
                <w:b w:val="false"/>
                <w:bCs w:val="false"/>
                <w:color w:val="222222"/>
                <w:sz w:val="20"/>
                <w:szCs w:val="20"/>
              </w:rPr>
              <w:t xml:space="preserve">Truncated y-axes or inconsistent scales can visually exaggerate small differences between states</w:t>
            </w:r>
          </w:p>
        </w:tc>
        <w:tc>
          <w:tcPr>
            <w:tcW w:type="dxa" w:w="3600"/>
            <w:shd w:fill="FFFFFF" w:val="clear"/>
            <w:tcMar>
              <w:top w:type="dxa" w:w="100"/>
              <w:left w:type="dxa" w:w="120"/>
              <w:bottom w:type="dxa" w:w="100"/>
              <w:right w:type="dxa" w:w="120"/>
            </w:tcMar>
            <w:vAlign w:val="center"/>
          </w:tcPr>
          <w:p>
            <w:r>
              <w:rPr>
                <w:b w:val="false"/>
                <w:bCs w:val="false"/>
                <w:color w:val="222222"/>
                <w:sz w:val="20"/>
                <w:szCs w:val="20"/>
              </w:rPr>
              <w:t xml:space="preserve">Standardize axis scales across comparable charts; always start bar-chart axes at zero</w:t>
            </w:r>
          </w:p>
        </w:tc>
      </w:tr>
    </w:tbl>
    <w:p>
      <w:pPr>
        <w:pStyle w:val="Heading1"/>
        <w:pBdr>
          <w:bottom w:val="single" w:color="2E75B6" w:sz="6" w:space="4"/>
        </w:pBdr>
        <w:spacing w:after="160" w:before="360"/>
      </w:pPr>
      <w:r>
        <w:rPr>
          <w:b/>
          <w:bCs/>
          <w:color w:val="1F3864"/>
          <w:sz w:val="30"/>
          <w:szCs w:val="30"/>
        </w:rPr>
        <w:t xml:space="preserve">7. Simulated Analytical Workflow &amp; Timeline</w:t>
      </w:r>
    </w:p>
    <w:p>
      <w:pPr>
        <w:spacing w:after="160" w:line="300"/>
        <w:jc w:val="both"/>
      </w:pPr>
      <w:r>
        <w:rPr>
          <w:sz w:val="22"/>
          <w:szCs w:val="22"/>
        </w:rPr>
        <w:t xml:space="preserve">The analysis phase is organized into seven sequential stages, moving from planning through EDA, inferential statistics, modeling, and final synthesis. Each stage builds on the validated, analysis-ready dataset delivered at the end of Week 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200"/>
        <w:gridCol w:w="1800"/>
      </w:tblGrid>
      <w:tr>
        <w:trPr>
          <w:tblHeader/>
        </w:trPr>
        <w:tc>
          <w:tcPr>
            <w:tcW w:type="dxa" w:w="1600"/>
            <w:shd w:fill="1F3864" w:val="clear"/>
            <w:tcMar>
              <w:top w:type="dxa" w:w="100"/>
              <w:left w:type="dxa" w:w="120"/>
              <w:bottom w:type="dxa" w:w="100"/>
              <w:right w:type="dxa" w:w="120"/>
            </w:tcMar>
            <w:vAlign w:val="center"/>
          </w:tcPr>
          <w:p>
            <w:r>
              <w:rPr>
                <w:b/>
                <w:bCs/>
                <w:color w:val="FFFFFF"/>
                <w:sz w:val="20"/>
                <w:szCs w:val="20"/>
              </w:rPr>
              <w:t xml:space="preserve">Stage</w:t>
            </w:r>
          </w:p>
        </w:tc>
        <w:tc>
          <w:tcPr>
            <w:tcW w:type="dxa" w:w="2800"/>
            <w:shd w:fill="1F3864" w:val="clear"/>
            <w:tcMar>
              <w:top w:type="dxa" w:w="100"/>
              <w:left w:type="dxa" w:w="120"/>
              <w:bottom w:type="dxa" w:w="100"/>
              <w:right w:type="dxa" w:w="120"/>
            </w:tcMar>
            <w:vAlign w:val="center"/>
          </w:tcPr>
          <w:p>
            <w:r>
              <w:rPr>
                <w:b/>
                <w:bCs/>
                <w:color w:val="FFFFFF"/>
                <w:sz w:val="20"/>
                <w:szCs w:val="20"/>
              </w:rPr>
              <w:t xml:space="preserve">Activities</w:t>
            </w:r>
          </w:p>
        </w:tc>
        <w:tc>
          <w:tcPr>
            <w:tcW w:type="dxa" w:w="3200"/>
            <w:shd w:fill="1F3864" w:val="clear"/>
            <w:tcMar>
              <w:top w:type="dxa" w:w="100"/>
              <w:left w:type="dxa" w:w="120"/>
              <w:bottom w:type="dxa" w:w="100"/>
              <w:right w:type="dxa" w:w="120"/>
            </w:tcMar>
            <w:vAlign w:val="center"/>
          </w:tcPr>
          <w:p>
            <w:r>
              <w:rPr>
                <w:b/>
                <w:bCs/>
                <w:color w:val="FFFFFF"/>
                <w:sz w:val="20"/>
                <w:szCs w:val="20"/>
              </w:rPr>
              <w:t xml:space="preserve">Output</w:t>
            </w:r>
          </w:p>
        </w:tc>
        <w:tc>
          <w:tcPr>
            <w:tcW w:type="dxa" w:w="1800"/>
            <w:shd w:fill="1F3864" w:val="clear"/>
            <w:tcMar>
              <w:top w:type="dxa" w:w="100"/>
              <w:left w:type="dxa" w:w="120"/>
              <w:bottom w:type="dxa" w:w="100"/>
              <w:right w:type="dxa" w:w="120"/>
            </w:tcMar>
            <w:vAlign w:val="center"/>
          </w:tcPr>
          <w:p>
            <w:r>
              <w:rPr>
                <w:b/>
                <w:bCs/>
                <w:color w:val="FFFFFF"/>
                <w:sz w:val="20"/>
                <w:szCs w:val="20"/>
              </w:rPr>
              <w:t xml:space="preserve">Est. Duration</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1. Analysis Planning</w:t>
            </w:r>
          </w:p>
        </w:tc>
        <w:tc>
          <w:tcPr>
            <w:tcW w:type="dxa" w:w="2800"/>
            <w:shd w:fill="FFFFFF" w:val="clear"/>
            <w:tcMar>
              <w:top w:type="dxa" w:w="100"/>
              <w:left w:type="dxa" w:w="120"/>
              <w:bottom w:type="dxa" w:w="100"/>
              <w:right w:type="dxa" w:w="120"/>
            </w:tcMar>
            <w:vAlign w:val="center"/>
          </w:tcPr>
          <w:p>
            <w:r>
              <w:rPr>
                <w:b w:val="false"/>
                <w:bCs w:val="false"/>
                <w:color w:val="222222"/>
                <w:sz w:val="20"/>
                <w:szCs w:val="20"/>
              </w:rPr>
              <w:t xml:space="preserve">Finalize KPIs, hypotheses, and the specific questions each statistical method will answer</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Analysis plan document, KPI definitions</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Day 1–2</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2. Exploratory Data Analysis (EDA)</w:t>
            </w:r>
          </w:p>
        </w:tc>
        <w:tc>
          <w:tcPr>
            <w:tcW w:type="dxa" w:w="2800"/>
            <w:shd w:fill="DDEBF7" w:val="clear"/>
            <w:tcMar>
              <w:top w:type="dxa" w:w="100"/>
              <w:left w:type="dxa" w:w="120"/>
              <w:bottom w:type="dxa" w:w="100"/>
              <w:right w:type="dxa" w:w="120"/>
            </w:tcMar>
            <w:vAlign w:val="center"/>
          </w:tcPr>
          <w:p>
            <w:r>
              <w:rPr>
                <w:b w:val="false"/>
                <w:bCs w:val="false"/>
                <w:color w:val="222222"/>
                <w:sz w:val="20"/>
                <w:szCs w:val="20"/>
              </w:rPr>
              <w:t xml:space="preserve">Descriptive stats, distribution plots, missingness re-check on the Week 2 processed dataset</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EDA notebook, summary-statistics tables</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Day 2–4</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3. Correlation &amp; Hypothesis Testing</w:t>
            </w:r>
          </w:p>
        </w:tc>
        <w:tc>
          <w:tcPr>
            <w:tcW w:type="dxa" w:w="2800"/>
            <w:shd w:fill="FFFFFF" w:val="clear"/>
            <w:tcMar>
              <w:top w:type="dxa" w:w="100"/>
              <w:left w:type="dxa" w:w="120"/>
              <w:bottom w:type="dxa" w:w="100"/>
              <w:right w:type="dxa" w:w="120"/>
            </w:tcMar>
            <w:vAlign w:val="center"/>
          </w:tcPr>
          <w:p>
            <w:r>
              <w:rPr>
                <w:b w:val="false"/>
                <w:bCs w:val="false"/>
                <w:color w:val="222222"/>
                <w:sz w:val="20"/>
                <w:szCs w:val="20"/>
              </w:rPr>
              <w:t xml:space="preserve">Pairwise correlation analysis, t-tests/ANOVA across categorical groupings</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Correlation heatmap, hypothesis-test results table</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Day 4–6</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4. Regression Modeling</w:t>
            </w:r>
          </w:p>
        </w:tc>
        <w:tc>
          <w:tcPr>
            <w:tcW w:type="dxa" w:w="2800"/>
            <w:shd w:fill="DDEBF7" w:val="clear"/>
            <w:tcMar>
              <w:top w:type="dxa" w:w="100"/>
              <w:left w:type="dxa" w:w="120"/>
              <w:bottom w:type="dxa" w:w="100"/>
              <w:right w:type="dxa" w:w="120"/>
            </w:tcMar>
            <w:vAlign w:val="center"/>
          </w:tcPr>
          <w:p>
            <w:r>
              <w:rPr>
                <w:b w:val="false"/>
                <w:bCs w:val="false"/>
                <w:color w:val="222222"/>
                <w:sz w:val="20"/>
                <w:szCs w:val="20"/>
              </w:rPr>
              <w:t xml:space="preserve">Fit and validate OLS regression of adoption on infrastructure/demographic predictors</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Regression summary, diagnostic plots (residuals, Q-Q)</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Day 6–8</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5. Clustering / Segmentation</w:t>
            </w:r>
          </w:p>
        </w:tc>
        <w:tc>
          <w:tcPr>
            <w:tcW w:type="dxa" w:w="2800"/>
            <w:shd w:fill="FFFFFF" w:val="clear"/>
            <w:tcMar>
              <w:top w:type="dxa" w:w="100"/>
              <w:left w:type="dxa" w:w="120"/>
              <w:bottom w:type="dxa" w:w="100"/>
              <w:right w:type="dxa" w:w="120"/>
            </w:tcMar>
            <w:vAlign w:val="center"/>
          </w:tcPr>
          <w:p>
            <w:r>
              <w:rPr>
                <w:b w:val="false"/>
                <w:bCs w:val="false"/>
                <w:color w:val="222222"/>
                <w:sz w:val="20"/>
                <w:szCs w:val="20"/>
              </w:rPr>
              <w:t xml:space="preserve">K-Means clustering of states into adoption-maturity tiers; validate cluster count</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Cluster assignments, elbow/silhouette plots</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Day 8–9</w:t>
            </w:r>
          </w:p>
        </w:tc>
      </w:tr>
      <w:tr>
        <w:trPr>
          <w:tblHeader w:val="false"/>
        </w:trPr>
        <w:tc>
          <w:tcPr>
            <w:tcW w:type="dxa" w:w="1600"/>
            <w:shd w:fill="DDEBF7" w:val="clear"/>
            <w:tcMar>
              <w:top w:type="dxa" w:w="100"/>
              <w:left w:type="dxa" w:w="120"/>
              <w:bottom w:type="dxa" w:w="100"/>
              <w:right w:type="dxa" w:w="120"/>
            </w:tcMar>
            <w:vAlign w:val="center"/>
          </w:tcPr>
          <w:p>
            <w:r>
              <w:rPr>
                <w:b w:val="false"/>
                <w:bCs w:val="false"/>
                <w:color w:val="222222"/>
                <w:sz w:val="20"/>
                <w:szCs w:val="20"/>
              </w:rPr>
              <w:t xml:space="preserve">6. Visualization &amp; Synthesis</w:t>
            </w:r>
          </w:p>
        </w:tc>
        <w:tc>
          <w:tcPr>
            <w:tcW w:type="dxa" w:w="2800"/>
            <w:shd w:fill="DDEBF7" w:val="clear"/>
            <w:tcMar>
              <w:top w:type="dxa" w:w="100"/>
              <w:left w:type="dxa" w:w="120"/>
              <w:bottom w:type="dxa" w:w="100"/>
              <w:right w:type="dxa" w:w="120"/>
            </w:tcMar>
            <w:vAlign w:val="center"/>
          </w:tcPr>
          <w:p>
            <w:r>
              <w:rPr>
                <w:b w:val="false"/>
                <w:bCs w:val="false"/>
                <w:color w:val="222222"/>
                <w:sz w:val="20"/>
                <w:szCs w:val="20"/>
              </w:rPr>
              <w:t xml:space="preserve">Build final chart set (matplotlib/seaborn) and translate outputs into narrative insights</w:t>
            </w:r>
          </w:p>
        </w:tc>
        <w:tc>
          <w:tcPr>
            <w:tcW w:type="dxa" w:w="3200"/>
            <w:shd w:fill="DDEBF7" w:val="clear"/>
            <w:tcMar>
              <w:top w:type="dxa" w:w="100"/>
              <w:left w:type="dxa" w:w="120"/>
              <w:bottom w:type="dxa" w:w="100"/>
              <w:right w:type="dxa" w:w="120"/>
            </w:tcMar>
            <w:vAlign w:val="center"/>
          </w:tcPr>
          <w:p>
            <w:r>
              <w:rPr>
                <w:b w:val="false"/>
                <w:bCs w:val="false"/>
                <w:color w:val="222222"/>
                <w:sz w:val="20"/>
                <w:szCs w:val="20"/>
              </w:rPr>
              <w:t xml:space="preserve">Final chart pack, insight summary</w:t>
            </w:r>
          </w:p>
        </w:tc>
        <w:tc>
          <w:tcPr>
            <w:tcW w:type="dxa" w:w="1800"/>
            <w:shd w:fill="DDEBF7" w:val="clear"/>
            <w:tcMar>
              <w:top w:type="dxa" w:w="100"/>
              <w:left w:type="dxa" w:w="120"/>
              <w:bottom w:type="dxa" w:w="100"/>
              <w:right w:type="dxa" w:w="120"/>
            </w:tcMar>
            <w:vAlign w:val="center"/>
          </w:tcPr>
          <w:p>
            <w:r>
              <w:rPr>
                <w:b w:val="false"/>
                <w:bCs w:val="false"/>
                <w:color w:val="222222"/>
                <w:sz w:val="20"/>
                <w:szCs w:val="20"/>
              </w:rPr>
              <w:t xml:space="preserve">Day 9–11</w:t>
            </w:r>
          </w:p>
        </w:tc>
      </w:tr>
      <w:tr>
        <w:trPr>
          <w:tblHeader w:val="false"/>
        </w:trPr>
        <w:tc>
          <w:tcPr>
            <w:tcW w:type="dxa" w:w="1600"/>
            <w:shd w:fill="FFFFFF" w:val="clear"/>
            <w:tcMar>
              <w:top w:type="dxa" w:w="100"/>
              <w:left w:type="dxa" w:w="120"/>
              <w:bottom w:type="dxa" w:w="100"/>
              <w:right w:type="dxa" w:w="120"/>
            </w:tcMar>
            <w:vAlign w:val="center"/>
          </w:tcPr>
          <w:p>
            <w:r>
              <w:rPr>
                <w:b w:val="false"/>
                <w:bCs w:val="false"/>
                <w:color w:val="222222"/>
                <w:sz w:val="20"/>
                <w:szCs w:val="20"/>
              </w:rPr>
              <w:t xml:space="preserve">7. Review &amp; Documentation</w:t>
            </w:r>
          </w:p>
        </w:tc>
        <w:tc>
          <w:tcPr>
            <w:tcW w:type="dxa" w:w="2800"/>
            <w:shd w:fill="FFFFFF" w:val="clear"/>
            <w:tcMar>
              <w:top w:type="dxa" w:w="100"/>
              <w:left w:type="dxa" w:w="120"/>
              <w:bottom w:type="dxa" w:w="100"/>
              <w:right w:type="dxa" w:w="120"/>
            </w:tcMar>
            <w:vAlign w:val="center"/>
          </w:tcPr>
          <w:p>
            <w:r>
              <w:rPr>
                <w:b w:val="false"/>
                <w:bCs w:val="false"/>
                <w:color w:val="222222"/>
                <w:sz w:val="20"/>
                <w:szCs w:val="20"/>
              </w:rPr>
              <w:t xml:space="preserve">Peer/self review of statistical assumptions, finalize written interpretation for each KPI</w:t>
            </w:r>
          </w:p>
        </w:tc>
        <w:tc>
          <w:tcPr>
            <w:tcW w:type="dxa" w:w="3200"/>
            <w:shd w:fill="FFFFFF" w:val="clear"/>
            <w:tcMar>
              <w:top w:type="dxa" w:w="100"/>
              <w:left w:type="dxa" w:w="120"/>
              <w:bottom w:type="dxa" w:w="100"/>
              <w:right w:type="dxa" w:w="120"/>
            </w:tcMar>
            <w:vAlign w:val="center"/>
          </w:tcPr>
          <w:p>
            <w:r>
              <w:rPr>
                <w:b w:val="false"/>
                <w:bCs w:val="false"/>
                <w:color w:val="222222"/>
                <w:sz w:val="20"/>
                <w:szCs w:val="20"/>
              </w:rPr>
              <w:t xml:space="preserve">Reviewed analysis report, ready for Week 4/5 dashboarding</w:t>
            </w:r>
          </w:p>
        </w:tc>
        <w:tc>
          <w:tcPr>
            <w:tcW w:type="dxa" w:w="1800"/>
            <w:shd w:fill="FFFFFF" w:val="clear"/>
            <w:tcMar>
              <w:top w:type="dxa" w:w="100"/>
              <w:left w:type="dxa" w:w="120"/>
              <w:bottom w:type="dxa" w:w="100"/>
              <w:right w:type="dxa" w:w="120"/>
            </w:tcMar>
            <w:vAlign w:val="center"/>
          </w:tcPr>
          <w:p>
            <w:r>
              <w:rPr>
                <w:b w:val="false"/>
                <w:bCs w:val="false"/>
                <w:color w:val="222222"/>
                <w:sz w:val="20"/>
                <w:szCs w:val="20"/>
              </w:rPr>
              <w:t xml:space="preserve">Day 11–12</w:t>
            </w:r>
          </w:p>
        </w:tc>
      </w:tr>
    </w:tbl>
    <w:p>
      <w:pPr>
        <w:spacing w:after="160" w:line="300"/>
        <w:jc w:val="both"/>
      </w:pPr>
      <w:r>
        <w:rPr>
          <w:sz w:val="22"/>
          <w:szCs w:val="22"/>
        </w:rPr>
        <w:t xml:space="preserve">This staged approach ensures that no statistical test or model is run before its assumptions have been checked, and that every chart or summary statistic produced can be traced back to a specific KPI and decision question defined in Section 2.</w:t>
      </w:r>
    </w:p>
    <w:p>
      <w:pPr>
        <w:pStyle w:val="Heading1"/>
        <w:pBdr>
          <w:bottom w:val="single" w:color="2E75B6" w:sz="6" w:space="4"/>
        </w:pBdr>
        <w:spacing w:after="160" w:before="360"/>
      </w:pPr>
      <w:r>
        <w:rPr>
          <w:b/>
          <w:bCs/>
          <w:color w:val="1F3864"/>
          <w:sz w:val="30"/>
          <w:szCs w:val="30"/>
        </w:rPr>
        <w:t xml:space="preserve">8. Conclusion</w:t>
      </w:r>
    </w:p>
    <w:p>
      <w:pPr>
        <w:spacing w:after="160" w:line="300"/>
        <w:jc w:val="both"/>
      </w:pPr>
      <w:r>
        <w:rPr>
          <w:sz w:val="22"/>
          <w:szCs w:val="22"/>
        </w:rPr>
        <w:t xml:space="preserve">This blueprint operationalizes the Week 1 strategic objectives and the Week 2 preprocessing pipeline into a concrete, technically specified analysis phase. By anchoring every statistical method and Python implementation to a defined KPI and decision question, and by explicitly planning for common analytical pitfalls, the framework is designed to produce insight that is both statistically sound and directly useful for improving digital government service delivery. The resulting analysis outputs — regression models, cluster segmentations, and a validated chart pack — will feed directly into the Week 4/5 visualization and dashboarding phase of the project.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Data Analysis &amp; Python Implementation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2026-08-20T04:03:38.559Z</dcterms:created>
  <dcterms:modified xsi:type="dcterms:W3CDTF">2026-08-20T04:03:38.571Z</dcterms:modified>
</cp:coreProperties>
</file>

<file path=docProps/custom.xml><?xml version="1.0" encoding="utf-8"?>
<Properties xmlns="http://schemas.openxmlformats.org/officeDocument/2006/custom-properties" xmlns:vt="http://schemas.openxmlformats.org/officeDocument/2006/docPropsVTypes"/>
</file>