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ByteWallet AI: Empowering ASEAN Youth with Privacy-First Financial Intelligence</w:t>
      </w:r>
    </w:p>
    <w:p>
      <w:pPr>
        <w:pStyle w:val="Heading1"/>
      </w:pPr>
      <w:r>
        <w:rPr>
          <w:rFonts w:ascii="Arial" w:hAnsi="Arial"/>
        </w:rPr>
        <w:t>Target Audience / Beneficiaries</w:t>
      </w:r>
    </w:p>
    <w:p>
      <w:pPr>
        <w:spacing w:line="360" w:lineRule="auto"/>
      </w:pPr>
      <w:r>
        <w:rPr>
          <w:rFonts w:ascii="Arial" w:hAnsi="Arial"/>
          <w:sz w:val="24"/>
        </w:rPr>
        <w:t>The primary target audience encompasses Gen Z and young Millennials across Southeast Asia (ASEAN), specifically young professionals, university students, and gig-economy workers. These demographic groups often experience their first stable income but lack foundational financial literacy, making them vulnerable to mismanaging personal cash flow. ByteWallet AI is tailored to support this transition to financial independence by offering personalized, proactive spending guidance.</w:t>
      </w:r>
    </w:p>
    <w:p>
      <w:pPr>
        <w:pStyle w:val="Heading1"/>
      </w:pPr>
      <w:r>
        <w:rPr>
          <w:rFonts w:ascii="Arial" w:hAnsi="Arial"/>
        </w:rPr>
        <w:t>Problem Statement</w:t>
      </w:r>
    </w:p>
    <w:p>
      <w:pPr>
        <w:spacing w:line="360" w:lineRule="auto"/>
      </w:pPr>
      <w:r>
        <w:rPr>
          <w:rFonts w:ascii="Arial" w:hAnsi="Arial"/>
          <w:sz w:val="24"/>
        </w:rPr>
        <w:t>As the cost of living rises across Southeast Asia, young adults increasingly struggle with "burn-rate"—the pace at which monthly income is depleted. A common trend is early-month overspending followed by late-month financial shortfalls. Currently, existing financial tools are either overwhelmingly complex, purely retroactive (only showing what was spent, not what might happen), or heavily reliant on cloud data aggregation that raises significant privacy concerns. This initiative aligns with Google.org’s focus area of "Digital Inclusion and Economic Opportunity."</w:t>
        <w:br/>
        <w:br/>
        <w:t>Youth are impacted by an endless cycle of month-to-month paycheck reliance, heightened financial anxiety, and an inability to build long-term savings. When budget overshoots are not foreseen, individuals often resort to high-interest micro-loans, further exacerbating regional economic disparity.</w:t>
      </w:r>
    </w:p>
    <w:p>
      <w:pPr>
        <w:pStyle w:val="Heading1"/>
      </w:pPr>
      <w:r>
        <w:rPr>
          <w:rFonts w:ascii="Arial" w:hAnsi="Arial"/>
        </w:rPr>
        <w:t>AI-Based Solution</w:t>
      </w:r>
    </w:p>
    <w:p>
      <w:pPr>
        <w:spacing w:line="360" w:lineRule="auto"/>
      </w:pPr>
      <w:r>
        <w:rPr>
          <w:rFonts w:ascii="Arial" w:hAnsi="Arial"/>
          <w:sz w:val="24"/>
        </w:rPr>
        <w:t>ByteWallet AI functions as a privacy-first, predictive financial assistant. At its core is a custom Machine Learning classifier (trained on localized transaction datasets, such as integrated MoMo data) that predicts the probability of an individual experiencing a late-month financial shortfall based on early-month spending velocity.</w:t>
        <w:br/>
        <w:br/>
        <w:t>The system employs a hybrid AI approach:</w:t>
        <w:br/>
        <w:t>• Predictive ML Models analyze historical spending categories and cash-flow patterns to flag potential budget overshoots.</w:t>
        <w:br/>
        <w:t>• Deterministic Rule Engines (e.g., the "15th/65% Rule") serve as safety fallbacks to ensure actionable and transparent triggers.</w:t>
        <w:br/>
        <w:t>• Privacy-Preserving GenAI (Local Mode capability) converts raw data insights into empathetic, personalized nudges directly on the user's device.</w:t>
        <w:br/>
        <w:br/>
        <w:t>AI is an exceptionally suitable and innovative approach here because simple static budgets fail to account for dynamic, real-world spending behaviors. Furthermore, the responsible approach of offering localized, on-device inference ensures sensitive financial transaction data never leaves user control unnecessarily.</w:t>
      </w:r>
    </w:p>
    <w:p>
      <w:pPr>
        <w:pStyle w:val="Heading1"/>
      </w:pPr>
      <w:r>
        <w:rPr>
          <w:rFonts w:ascii="Arial" w:hAnsi="Arial"/>
        </w:rPr>
        <w:t>Feasibility</w:t>
      </w:r>
    </w:p>
    <w:p>
      <w:pPr>
        <w:spacing w:line="360" w:lineRule="auto"/>
      </w:pPr>
      <w:r>
        <w:rPr>
          <w:rFonts w:ascii="Arial" w:hAnsi="Arial"/>
          <w:sz w:val="24"/>
        </w:rPr>
        <w:t>The proposed solution is highly feasible, grounded in a proven and operational technology stack:</w:t>
        <w:br/>
        <w:t>• Core Capabilities Established: The core ML models have been developed natively within a FastAPI backend and successfully integrated with actual regional transaction formats (e.g., Vietnam’s MoMo network) for robust offline training.</w:t>
        <w:br/>
        <w:t>• Resources &amp; Timeline: With an operational backend and rule engine in place, the immediate 3-month timeline focuses on refining the frontend integration and deploying the edge-AI local models for public usage.</w:t>
        <w:br/>
        <w:t>• Partnerships: Strategic partnerships with regional digital banks and university student unions are planned to onboard an initial pilot cohort of 500 active users, enabling direct user feedback loops and secure iteration.</w:t>
      </w:r>
    </w:p>
    <w:p>
      <w:pPr>
        <w:pStyle w:val="Heading1"/>
      </w:pPr>
      <w:r>
        <w:rPr>
          <w:rFonts w:ascii="Arial" w:hAnsi="Arial"/>
        </w:rPr>
        <w:t>Scalability &amp; Impact</w:t>
      </w:r>
    </w:p>
    <w:p>
      <w:pPr>
        <w:spacing w:line="360" w:lineRule="auto"/>
      </w:pPr>
      <w:r>
        <w:rPr>
          <w:rFonts w:ascii="Arial" w:hAnsi="Arial"/>
          <w:sz w:val="24"/>
        </w:rPr>
        <w:t>ByteWallet AI boasts an inherently scalable architecture designed to seamlessly accommodate growth beyond the initial deployment.</w:t>
        <w:br/>
        <w:br/>
        <w:t>• Regional Expansion: The data-agnostic nature of the ML pipeline allows for straightforward adaptation to local data contexts, enabling shifts from MoMo in Vietnam to GCash in the Philippines, or GrabPay regionally, without needing to rebuild the core engine.</w:t>
        <w:br/>
        <w:t>• Sustainable Impact: At a community level, immediate financial resilience is fostered by reducing reliance on predatory micro-loans. Nationally and regionally, widespread adoption contributes to a more financially literate, confident, and stable youth demographic, capable of participating more sustainably in the rapidly digitizing ASEAN economy. It is projected that active users will observe an estimated 30% reduction in late-month budget shortfalls within the first three months of onboarding.</w:t>
      </w:r>
    </w:p>
    <w:p>
      <w:pPr>
        <w:pStyle w:val="Heading1"/>
      </w:pPr>
      <w:r>
        <w:rPr>
          <w:rFonts w:ascii="Arial" w:hAnsi="Arial"/>
        </w:rPr>
        <w:t>Outreach Plan</w:t>
      </w:r>
    </w:p>
    <w:p>
      <w:pPr>
        <w:spacing w:line="360" w:lineRule="auto"/>
      </w:pPr>
      <w:r>
        <w:rPr>
          <w:rFonts w:ascii="Arial" w:hAnsi="Arial"/>
          <w:sz w:val="24"/>
        </w:rPr>
        <w:t>To extend the project's impact and democratize AI awareness, a 3-tier community engagement plan will be executed, targeting at least 1,000 community members in total:</w:t>
        <w:br/>
        <w:br/>
        <w:t>• Tier 1: "AI &amp; Wallet" University Roadshows. Interactive workshops will be hosted at three major local universities (targeting ~400 students). These peer-led sessions will demystify how AI models learn from data, utilizing anonymized student budget spreadsheets as safe, relatable examples to foster foundational understanding.</w:t>
        <w:br/>
        <w:t>• Tier 2: "Burn-Rate Challenge" Social Media Campaign. Through platforms like TikTok and Instagram Reels (targeting ~500+ youth), a gamified 30-day budgeting challenge will be launched. Short, educational videos will explain simple AI concepts—like 'prediction vs. static rules'—in accessible terms alongside practical budgeting tips and tricks.</w:t>
        <w:br/>
        <w:t>• Tier 3: Open-Source AI Clinics. A community hack-day (targeting ~100 aspiring developers and tech enthusiasts) will be hosted, walking through the ML data loaders to encourage unprecedented algorithmic transparency and local contributions to ethical AI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