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 w:val="0"/>
          <w:color w:val="000000"/>
          <w:sz w:val="44"/>
        </w:rPr>
        <w:t>SITT MIN THAR</w:t>
      </w:r>
    </w:p>
    <w:p>
      <w:pPr>
        <w:spacing w:after="120"/>
        <w:jc w:val="center"/>
      </w:pPr>
      <w:r>
        <w:rPr>
          <w:rFonts w:ascii="Times New Roman" w:hAnsi="Times New Roman"/>
          <w:b w:val="0"/>
          <w:color w:val="0563C1"/>
          <w:sz w:val="21"/>
          <w:u w:val="single"/>
        </w:rPr>
        <w:t>github.com/SmtTheSE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sittminthar005@gmail.com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sittminthar.from-mm.dev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Software Engineer | Ad Venture Studio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2026 -- 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Building and shipping mobile apps for App Store and Google Play, owning product engineering, store releases, and app infrastructure</w:t>
      </w:r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Partnering with design and monetization leads on UX, performance, and retention-oriented product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Founding Engineer | </w:t>
            </w:r>
            <w:hyperlink r:id="rId9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Bravestep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Founding engineering role focused on systems direction and product infrastructure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Release-Acceptance Engineer | </w:t>
            </w:r>
            <w:hyperlink r:id="rId10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Malibu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Independent release-acceptance engineer for a macOS distributed-compute marketplace, serving as the physical-hardware validation gate between CI-green and fleet rollout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Software Development Intern | </w:t>
            </w:r>
            <w:hyperlink r:id="rId11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AIOT Inc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Internship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Internship focused on backend integration, application structure, and production-minded software practices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Data Science -- Saigon Business School, Vietnam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Expected 2027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Software Engineering -- University of Computer Studies, Yangon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2022 -- 2024</w:t>
            </w:r>
          </w:p>
        </w:tc>
      </w:tr>
    </w:tbl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PROJECTS</w:t>
      </w:r>
    </w:p>
    <w:p>
      <w:pPr>
        <w:spacing w:after="0"/>
      </w:pPr>
      <w:hyperlink r:id="rId12">
        <w:r>
          <w:rPr>
            <w:rFonts w:ascii="Times New Roman" w:hAnsi="Times New Roman"/>
            <w:sz w:val="22"/>
            <w:color w:val="0563C1"/>
            <w:u w:val="single"/>
            <w:b/>
          </w:rPr>
          <w:t>Rental Property AI Platform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10M-dataset-powered demand forecasting and gap analysis engine processing rental listings across 40 Indian cities (Python, Flask, Scikit-learn, Next.js)</w:t>
      </w:r>
    </w:p>
    <w:p>
      <w:pPr>
        <w:spacing w:after="0"/>
      </w:pPr>
      <w:hyperlink r:id="rId13">
        <w:r>
          <w:rPr>
            <w:rFonts w:ascii="Times New Roman" w:hAnsi="Times New Roman"/>
            <w:sz w:val="22"/>
            <w:color w:val="0563C1"/>
            <w:u w:val="single"/>
            <w:b/>
          </w:rPr>
          <w:t>Ultimate ByteMe: Pan-Asian Real Estate Intelligence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Computational intelligence platform for the 1st Synergia International Conference 2026 with a LightGBM valuation engine, an investment opportunity scanner, and a RAG-grounded AI assistant on Qwen2.5/Gemini (Next.js, Python, Flask, LightGBM, Ollama)</w:t>
      </w:r>
    </w:p>
    <w:p>
      <w:pPr>
        <w:spacing w:after="0"/>
      </w:pPr>
      <w:hyperlink r:id="rId14">
        <w:r>
          <w:rPr>
            <w:rFonts w:ascii="Times New Roman" w:hAnsi="Times New Roman"/>
            <w:sz w:val="22"/>
            <w:color w:val="0563C1"/>
            <w:u w:val="single"/>
            <w:b/>
          </w:rPr>
          <w:t>SBS Student Serving System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Full-stack academic platform for Saigon Business School with a Spring Boot 3 REST API and React 18 frontend, JWT authentication, and role-based access control (Java 21, Spring Boot 3, React 18, Docker, AWS S3)</w:t>
      </w:r>
    </w:p>
    <w:p>
      <w:pPr>
        <w:spacing w:after="0"/>
      </w:pPr>
      <w:hyperlink r:id="rId15">
        <w:r>
          <w:rPr>
            <w:rFonts w:ascii="Times New Roman" w:hAnsi="Times New Roman"/>
            <w:sz w:val="22"/>
            <w:color w:val="0563C1"/>
            <w:u w:val="single"/>
            <w:b/>
          </w:rPr>
          <w:t>HeadRoom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Workplace-capacity negotiation tool built in 3 days for RMIT's ADC Hackathon 2026 (Neurodivergence track); ADHD-first Focus Mode and a zero-violation WCAG 2.2 AA audit (React, TypeScript, Supabase, Gemini AI)</w:t>
      </w:r>
    </w:p>
    <w:p>
      <w:pPr>
        <w:spacing w:after="0"/>
      </w:pPr>
      <w:hyperlink r:id="rId16">
        <w:r>
          <w:rPr>
            <w:rFonts w:ascii="Times New Roman" w:hAnsi="Times New Roman"/>
            <w:sz w:val="22"/>
            <w:color w:val="0563C1"/>
            <w:u w:val="single"/>
            <w:b/>
          </w:rPr>
          <w:t>DataCleanr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AI-powered dataset cleaning app with industry detection across 12 sectors and automated CSV/Excel harmonization (Python, Cython, JavaScript)</w:t>
      </w:r>
    </w:p>
    <w:p>
      <w:pPr>
        <w:spacing w:after="0"/>
      </w:pPr>
      <w:hyperlink r:id="rId17">
        <w:r>
          <w:rPr>
            <w:rFonts w:ascii="Times New Roman" w:hAnsi="Times New Roman"/>
            <w:sz w:val="22"/>
            <w:color w:val="0563C1"/>
            <w:u w:val="single"/>
            <w:b/>
          </w:rPr>
          <w:t>Kamisori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“Embrace the Future” -- e-commerce platform for a local clothing brand in Myanmar; architected a secure, scalable backend ensuring data integrity (PostgreSQL, Supabase, Edge Functions)</w:t>
      </w:r>
    </w:p>
    <w:p>
      <w:pPr>
        <w:spacing w:after="0"/>
      </w:pPr>
      <w:hyperlink r:id="rId18">
        <w:r>
          <w:rPr>
            <w:rFonts w:ascii="Times New Roman" w:hAnsi="Times New Roman"/>
            <w:sz w:val="22"/>
            <w:color w:val="0563C1"/>
            <w:u w:val="single"/>
            <w:b/>
          </w:rPr>
          <w:t>Dental Blinding &amp; Age Estimation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Internal pediatric dental age estimation system for the University of Dental Medicine, Mandalay, implementing the AlQahtani and Demirjian methods with a role-based Supervisor/PI blinding workflow to eliminate analysis bias (Python, Flask, PostgreSQL)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OPEN SOURCE</w:t>
      </w:r>
    </w:p>
    <w:p>
      <w:pPr>
        <w:spacing w:after="0"/>
      </w:pPr>
      <w:hyperlink r:id="rId19">
        <w:r>
          <w:rPr>
            <w:rFonts w:ascii="Times New Roman" w:hAnsi="Times New Roman"/>
            <w:sz w:val="22"/>
            <w:color w:val="0563C1"/>
            <w:u w:val="single"/>
            <w:b/>
          </w:rPr>
          <w:t>BuddyUsage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Menu-bar usage tracker for Claude, Codex, Gemini, Cursor and Copilot with pace prediction and local agent control; exposes usage as a local MCP server. 25 releases, macOS/Windows/Linux (Electron, TypeScript)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SKILLS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Programming: </w:t>
      </w:r>
      <w:r>
        <w:rPr>
          <w:rFonts w:ascii="Times New Roman" w:hAnsi="Times New Roman"/>
          <w:sz w:val="21"/>
        </w:rPr>
        <w:t>Python (Flask, FastAPI, Pandas, NumPy, Scikit-learn, LightGBM), Java (Spring Boot), Go, PHP, JavaScript/TypeScript, SQL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Software: </w:t>
      </w:r>
      <w:r>
        <w:rPr>
          <w:rFonts w:ascii="Times New Roman" w:hAnsi="Times New Roman"/>
          <w:sz w:val="21"/>
        </w:rPr>
        <w:t>Docker, Nginx, AWS (S3, EC2), PostgreSQL, MySQL, Git, GitHub, VPS/SSL, CI/CD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ravestep.ai/" TargetMode="External"/><Relationship Id="rId10" Type="http://schemas.openxmlformats.org/officeDocument/2006/relationships/hyperlink" Target="https://malibu.tech/" TargetMode="External"/><Relationship Id="rId11" Type="http://schemas.openxmlformats.org/officeDocument/2006/relationships/hyperlink" Target="https://www.facebook.com/aiot.global.inc" TargetMode="External"/><Relationship Id="rId12" Type="http://schemas.openxmlformats.org/officeDocument/2006/relationships/hyperlink" Target="https://github.com/SmtTheSE/Rental-Property-AI-Platform" TargetMode="External"/><Relationship Id="rId13" Type="http://schemas.openxmlformats.org/officeDocument/2006/relationships/hyperlink" Target="https://github.com/SmtTheSE/Conference" TargetMode="External"/><Relationship Id="rId14" Type="http://schemas.openxmlformats.org/officeDocument/2006/relationships/hyperlink" Target="https://github.com/SmtTheSE/docker_SBS" TargetMode="External"/><Relationship Id="rId15" Type="http://schemas.openxmlformats.org/officeDocument/2006/relationships/hyperlink" Target="https://github.com/SmtTheSE/HeadRoom" TargetMode="External"/><Relationship Id="rId16" Type="http://schemas.openxmlformats.org/officeDocument/2006/relationships/hyperlink" Target="https://github.com/SmtTheSE/Data-Cleanr" TargetMode="External"/><Relationship Id="rId17" Type="http://schemas.openxmlformats.org/officeDocument/2006/relationships/hyperlink" Target="https://github.com/SmtTheSE/Kamisori" TargetMode="External"/><Relationship Id="rId18" Type="http://schemas.openxmlformats.org/officeDocument/2006/relationships/hyperlink" Target="https://github.com/SmtTheSE/Dental-Blinding-Process-Project" TargetMode="External"/><Relationship Id="rId19" Type="http://schemas.openxmlformats.org/officeDocument/2006/relationships/hyperlink" Target="https://github.com/SmtTheSE/BuddyUs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