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/>
          <w:b w:val="0"/>
          <w:color w:val="000000"/>
          <w:sz w:val="44"/>
        </w:rPr>
        <w:t>SITT MIN THAR</w:t>
      </w:r>
    </w:p>
    <w:p>
      <w:pPr>
        <w:spacing w:after="120"/>
        <w:jc w:val="center"/>
      </w:pPr>
      <w:r>
        <w:rPr>
          <w:rFonts w:ascii="Times New Roman" w:hAnsi="Times New Roman"/>
          <w:b w:val="0"/>
          <w:color w:val="0563C1"/>
          <w:sz w:val="21"/>
          <w:u w:val="single"/>
        </w:rPr>
        <w:t>github.com/SmtTheSE</w:t>
      </w:r>
      <w:r>
        <w:rPr>
          <w:rFonts w:ascii="Times New Roman" w:hAnsi="Times New Roman"/>
          <w:sz w:val="21"/>
        </w:rPr>
        <w:t xml:space="preserve">  |  </w:t>
      </w:r>
      <w:r>
        <w:rPr>
          <w:rFonts w:ascii="Times New Roman" w:hAnsi="Times New Roman"/>
          <w:b w:val="0"/>
          <w:color w:val="0563C1"/>
          <w:sz w:val="21"/>
          <w:u w:val="single"/>
        </w:rPr>
        <w:t>sittminthar005@gmail.com</w:t>
      </w:r>
      <w:r>
        <w:rPr>
          <w:rFonts w:ascii="Times New Roman" w:hAnsi="Times New Roman"/>
          <w:sz w:val="21"/>
        </w:rPr>
        <w:t xml:space="preserve">  |  </w:t>
      </w:r>
      <w:r>
        <w:rPr>
          <w:rFonts w:ascii="Times New Roman" w:hAnsi="Times New Roman"/>
          <w:b w:val="0"/>
          <w:color w:val="0563C1"/>
          <w:sz w:val="21"/>
          <w:u w:val="single"/>
        </w:rPr>
        <w:t>sittminthar.from-mm.dev</w:t>
      </w:r>
    </w:p>
    <w:p>
      <w:pPr>
        <w:spacing w:before="100" w:after="20"/>
        <w:pBdr>
          <w:bottom w:val="single" w:sz="6" w:space="1" w:color="000000"/>
        </w:pBdr>
      </w:pPr>
      <w:r>
        <w:rPr>
          <w:rFonts w:ascii="Times New Roman" w:hAnsi="Times New Roman"/>
          <w:b/>
          <w:color w:val="000000"/>
          <w:sz w:val="23"/>
        </w:rPr>
        <w:t>EXPERIENCE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W w:w="10080" w:type="dxa"/>
      </w:tblPr>
      <w:tblGrid>
        <w:gridCol w:w="5256"/>
        <w:gridCol w:w="5256"/>
      </w:tblGrid>
      <w:tr>
        <w:tc>
          <w:tcPr>
            <w:tcW w:type="dxa" w:w="8928"/>
            <w:tcW w:w="8928" w:type="dxa"/>
            <w:tcMar>
              <w:left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1"/>
              </w:rPr>
              <w:t>Software Engineer | Ad Venture Studio</w:t>
            </w:r>
          </w:p>
        </w:tc>
        <w:tc>
          <w:tcPr>
            <w:tcW w:type="dxa" w:w="1152"/>
            <w:tcW w:w="1152" w:type="dxa"/>
            <w:tcMar>
              <w:left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Times New Roman" w:hAnsi="Times New Roman"/>
                <w:b/>
                <w:sz w:val="21"/>
              </w:rPr>
              <w:t>2026 -- Present</w:t>
            </w:r>
          </w:p>
        </w:tc>
      </w:tr>
    </w:tbl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Building and shipping mobile apps for App Store and Google Play, owning product engineering, store releases, and app infrastructure</w:t>
      </w:r>
    </w:p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Partnering with design and monetization leads on UX, performance, and retention-oriented product engineering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W w:w="10080" w:type="dxa"/>
      </w:tblPr>
      <w:tblGrid>
        <w:gridCol w:w="5256"/>
        <w:gridCol w:w="5256"/>
      </w:tblGrid>
      <w:tr>
        <w:tc>
          <w:tcPr>
            <w:tcW w:type="dxa" w:w="8928"/>
            <w:tcW w:w="8928" w:type="dxa"/>
            <w:tcMar>
              <w:left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1"/>
              </w:rPr>
              <w:t xml:space="preserve">Founding Engineer | </w:t>
            </w:r>
            <w:hyperlink r:id="rId9">
              <w:r>
                <w:rPr>
                  <w:rFonts w:ascii="Times New Roman" w:hAnsi="Times New Roman"/>
                  <w:sz w:val="21"/>
                  <w:color w:val="0563C1"/>
                  <w:u w:val="single"/>
                  <w:b/>
                </w:rPr>
                <w:t>Bravestep</w:t>
              </w:r>
            </w:hyperlink>
          </w:p>
        </w:tc>
        <w:tc>
          <w:tcPr>
            <w:tcW w:type="dxa" w:w="1152"/>
            <w:tcW w:w="1152" w:type="dxa"/>
            <w:tcMar>
              <w:left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Times New Roman" w:hAnsi="Times New Roman"/>
                <w:b/>
                <w:sz w:val="21"/>
              </w:rPr>
              <w:t>Present</w:t>
            </w:r>
          </w:p>
        </w:tc>
      </w:tr>
    </w:tbl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Founding engineering role focused on systems direction and product infrastructure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W w:w="10080" w:type="dxa"/>
      </w:tblPr>
      <w:tblGrid>
        <w:gridCol w:w="5256"/>
        <w:gridCol w:w="5256"/>
      </w:tblGrid>
      <w:tr>
        <w:tc>
          <w:tcPr>
            <w:tcW w:type="dxa" w:w="8928"/>
            <w:tcW w:w="8928" w:type="dxa"/>
            <w:tcMar>
              <w:left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1"/>
              </w:rPr>
              <w:t xml:space="preserve">Software Development Intern | </w:t>
            </w:r>
            <w:hyperlink r:id="rId10">
              <w:r>
                <w:rPr>
                  <w:rFonts w:ascii="Times New Roman" w:hAnsi="Times New Roman"/>
                  <w:sz w:val="21"/>
                  <w:color w:val="0563C1"/>
                  <w:u w:val="single"/>
                  <w:b/>
                </w:rPr>
                <w:t>AIOT Inc</w:t>
              </w:r>
            </w:hyperlink>
          </w:p>
        </w:tc>
        <w:tc>
          <w:tcPr>
            <w:tcW w:type="dxa" w:w="1152"/>
            <w:tcW w:w="1152" w:type="dxa"/>
            <w:tcMar>
              <w:left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Times New Roman" w:hAnsi="Times New Roman"/>
                <w:b/>
                <w:sz w:val="21"/>
              </w:rPr>
              <w:t>Internship</w:t>
            </w:r>
          </w:p>
        </w:tc>
      </w:tr>
    </w:tbl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Internship focused on backend integration, application structure, and production-minded software practices</w:t>
      </w:r>
    </w:p>
    <w:p>
      <w:pPr>
        <w:spacing w:before="100" w:after="20"/>
        <w:pBdr>
          <w:bottom w:val="single" w:sz="6" w:space="1" w:color="000000"/>
        </w:pBdr>
      </w:pPr>
      <w:r>
        <w:rPr>
          <w:rFonts w:ascii="Times New Roman" w:hAnsi="Times New Roman"/>
          <w:b/>
          <w:color w:val="000000"/>
          <w:sz w:val="23"/>
        </w:rPr>
        <w:t>EDUCATION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W w:w="10080" w:type="dxa"/>
      </w:tblPr>
      <w:tblGrid>
        <w:gridCol w:w="5256"/>
        <w:gridCol w:w="5256"/>
      </w:tblGrid>
      <w:tr>
        <w:tc>
          <w:tcPr>
            <w:tcW w:type="dxa" w:w="8928"/>
            <w:tcW w:w="8928" w:type="dxa"/>
            <w:tcMar>
              <w:left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1"/>
              </w:rPr>
              <w:t>B.S. Data Science -- Saigon Business School, Vietnam</w:t>
            </w:r>
          </w:p>
        </w:tc>
        <w:tc>
          <w:tcPr>
            <w:tcW w:type="dxa" w:w="1152"/>
            <w:tcW w:w="1152" w:type="dxa"/>
            <w:tcMar>
              <w:left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Times New Roman" w:hAnsi="Times New Roman"/>
                <w:b/>
                <w:sz w:val="21"/>
              </w:rPr>
              <w:t>Expected 2027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W w:w="10080" w:type="dxa"/>
      </w:tblPr>
      <w:tblGrid>
        <w:gridCol w:w="5256"/>
        <w:gridCol w:w="5256"/>
      </w:tblGrid>
      <w:tr>
        <w:tc>
          <w:tcPr>
            <w:tcW w:type="dxa" w:w="8928"/>
            <w:tcW w:w="8928" w:type="dxa"/>
            <w:tcMar>
              <w:left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1"/>
              </w:rPr>
              <w:t>B.S. Software Engineering -- University of Computer Studies, Yangon</w:t>
            </w:r>
          </w:p>
        </w:tc>
        <w:tc>
          <w:tcPr>
            <w:tcW w:type="dxa" w:w="1152"/>
            <w:tcW w:w="1152" w:type="dxa"/>
            <w:tcMar>
              <w:left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Times New Roman" w:hAnsi="Times New Roman"/>
                <w:b/>
                <w:sz w:val="21"/>
              </w:rPr>
              <w:t>2022 -- 2024</w:t>
            </w:r>
          </w:p>
        </w:tc>
      </w:tr>
    </w:tbl>
    <w:p>
      <w:pPr>
        <w:spacing w:before="100" w:after="20"/>
        <w:pBdr>
          <w:bottom w:val="single" w:sz="6" w:space="1" w:color="000000"/>
        </w:pBdr>
      </w:pPr>
      <w:r>
        <w:rPr>
          <w:rFonts w:ascii="Times New Roman" w:hAnsi="Times New Roman"/>
          <w:b/>
          <w:color w:val="000000"/>
          <w:sz w:val="23"/>
        </w:rPr>
        <w:t>PROJECTS</w:t>
      </w:r>
    </w:p>
    <w:p>
      <w:pPr>
        <w:spacing w:after="0"/>
      </w:pPr>
      <w:hyperlink r:id="rId11">
        <w:r>
          <w:rPr>
            <w:rFonts w:ascii="Times New Roman" w:hAnsi="Times New Roman"/>
            <w:sz w:val="22"/>
            <w:color w:val="0563C1"/>
            <w:u w:val="single"/>
            <w:b/>
          </w:rPr>
          <w:t>Rental Property AI Platform</w:t>
        </w:r>
      </w:hyperlink>
    </w:p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10M-dataset-powered demand forecasting and gap analysis engine processing rental listings across 40 Indian cities (Python, Flask, Scikit-learn, Next.js)</w:t>
      </w:r>
    </w:p>
    <w:p>
      <w:pPr>
        <w:spacing w:after="0"/>
      </w:pPr>
      <w:hyperlink r:id="rId12">
        <w:r>
          <w:rPr>
            <w:rFonts w:ascii="Times New Roman" w:hAnsi="Times New Roman"/>
            <w:sz w:val="22"/>
            <w:color w:val="0563C1"/>
            <w:u w:val="single"/>
            <w:b/>
          </w:rPr>
          <w:t>Ultimate ByteMe: Pan-Asian Real Estate Intelligence</w:t>
        </w:r>
      </w:hyperlink>
    </w:p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Computational intelligence platform for the 1st Synergia International Conference 2026 with a LightGBM valuation engine, an investment opportunity scanner, and a RAG-grounded AI assistant on Qwen2.5/Gemini (Next.js, Python, Flask, LightGBM, Ollama)</w:t>
      </w:r>
    </w:p>
    <w:p>
      <w:pPr>
        <w:spacing w:after="0"/>
      </w:pPr>
      <w:hyperlink r:id="rId13">
        <w:r>
          <w:rPr>
            <w:rFonts w:ascii="Times New Roman" w:hAnsi="Times New Roman"/>
            <w:sz w:val="22"/>
            <w:color w:val="0563C1"/>
            <w:u w:val="single"/>
            <w:b/>
          </w:rPr>
          <w:t>SBS Student Serving System</w:t>
        </w:r>
      </w:hyperlink>
    </w:p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Full-stack academic platform for Saigon Business School with a Spring Boot 3 REST API and React 18 frontend, JWT authentication, and role-based access control (Java 21, Spring Boot 3, React 18, Docker, AWS S3)</w:t>
      </w:r>
    </w:p>
    <w:p>
      <w:pPr>
        <w:spacing w:after="0"/>
      </w:pPr>
      <w:hyperlink r:id="rId14">
        <w:r>
          <w:rPr>
            <w:rFonts w:ascii="Times New Roman" w:hAnsi="Times New Roman"/>
            <w:sz w:val="22"/>
            <w:color w:val="0563C1"/>
            <w:u w:val="single"/>
            <w:b/>
          </w:rPr>
          <w:t>DataCleanr</w:t>
        </w:r>
      </w:hyperlink>
    </w:p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AI-powered dataset cleaning app with industry detection across 12 sectors and automated CSV/Excel harmonization (Python, Cython, JavaScript)</w:t>
      </w:r>
    </w:p>
    <w:p>
      <w:pPr>
        <w:spacing w:after="0"/>
      </w:pPr>
      <w:hyperlink r:id="rId15">
        <w:r>
          <w:rPr>
            <w:rFonts w:ascii="Times New Roman" w:hAnsi="Times New Roman"/>
            <w:sz w:val="22"/>
            <w:color w:val="0563C1"/>
            <w:u w:val="single"/>
            <w:b/>
          </w:rPr>
          <w:t>DentalBridge</w:t>
        </w:r>
      </w:hyperlink>
    </w:p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AI treatment coordinator using Google Gemini 1.5 Pro to translate clinical terminology into patient-friendly guidance (FastAPI, Next.js)</w:t>
      </w:r>
    </w:p>
    <w:p>
      <w:pPr>
        <w:spacing w:after="0"/>
      </w:pPr>
      <w:hyperlink r:id="rId16">
        <w:r>
          <w:rPr>
            <w:rFonts w:ascii="Times New Roman" w:hAnsi="Times New Roman"/>
            <w:sz w:val="22"/>
            <w:color w:val="0563C1"/>
            <w:u w:val="single"/>
            <w:b/>
          </w:rPr>
          <w:t>Kamisori</w:t>
        </w:r>
      </w:hyperlink>
    </w:p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“Embrace the Future” -- e-commerce platform for a local clothing brand in Myanmar; architected a secure, scalable backend ensuring data integrity (PostgreSQL, Supabase, Edge Functions)</w:t>
      </w:r>
    </w:p>
    <w:p>
      <w:pPr>
        <w:spacing w:after="0"/>
      </w:pPr>
      <w:hyperlink r:id="rId17">
        <w:r>
          <w:rPr>
            <w:rFonts w:ascii="Times New Roman" w:hAnsi="Times New Roman"/>
            <w:sz w:val="22"/>
            <w:color w:val="0563C1"/>
            <w:u w:val="single"/>
            <w:b/>
          </w:rPr>
          <w:t>Dental Blinding &amp; Age Estimation</w:t>
        </w:r>
      </w:hyperlink>
    </w:p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Internal pediatric dental age estimation system for the University of Dental Medicine, Mandalay, implementing the AlQahtani and Demirjian methods with a role-based Supervisor/PI blinding workflow to eliminate analysis bias (Python, Flask, PostgreSQL)</w:t>
      </w:r>
    </w:p>
    <w:p>
      <w:pPr>
        <w:spacing w:before="100" w:after="20"/>
        <w:pBdr>
          <w:bottom w:val="single" w:sz="6" w:space="1" w:color="000000"/>
        </w:pBdr>
      </w:pPr>
      <w:r>
        <w:rPr>
          <w:rFonts w:ascii="Times New Roman" w:hAnsi="Times New Roman"/>
          <w:b/>
          <w:color w:val="000000"/>
          <w:sz w:val="23"/>
        </w:rPr>
        <w:t>SKILLS</w:t>
      </w:r>
    </w:p>
    <w:p>
      <w:pPr>
        <w:spacing w:after="40"/>
      </w:pPr>
      <w:r>
        <w:rPr>
          <w:rFonts w:ascii="Times New Roman" w:hAnsi="Times New Roman"/>
          <w:b/>
          <w:sz w:val="21"/>
        </w:rPr>
        <w:t xml:space="preserve">Programming: </w:t>
      </w:r>
      <w:r>
        <w:rPr>
          <w:rFonts w:ascii="Times New Roman" w:hAnsi="Times New Roman"/>
          <w:sz w:val="21"/>
        </w:rPr>
        <w:t>Python (Flask, FastAPI, Pandas, NumPy, Scikit-learn, LightGBM), Java (Spring Boot), Go, PHP, JavaScript/TypeScript, SQL</w:t>
      </w:r>
    </w:p>
    <w:p>
      <w:pPr>
        <w:spacing w:after="40"/>
      </w:pPr>
      <w:r>
        <w:rPr>
          <w:rFonts w:ascii="Times New Roman" w:hAnsi="Times New Roman"/>
          <w:b/>
          <w:sz w:val="21"/>
        </w:rPr>
        <w:t xml:space="preserve">Software: </w:t>
      </w:r>
      <w:r>
        <w:rPr>
          <w:rFonts w:ascii="Times New Roman" w:hAnsi="Times New Roman"/>
          <w:sz w:val="21"/>
        </w:rPr>
        <w:t>Docker, Nginx, AWS (S3, EC2), PostgreSQL, MySQL, Git, GitHub, VPS/SSL, CI/CD</w:t>
      </w:r>
    </w:p>
    <w:sectPr w:rsidR="00FC693F" w:rsidRPr="0006063C" w:rsidSect="00034616">
      <w:pgSz w:w="12240" w:h="15840"/>
      <w:pgMar w:top="648" w:right="864" w:bottom="64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40" w:line="240" w:lineRule="auto"/>
      <w:contextualSpacing/>
    </w:pPr>
    <w:rPr>
      <w:rFonts w:ascii="Times New Roman" w:hAnsi="Times New Roman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ravestep.ai/" TargetMode="External"/><Relationship Id="rId10" Type="http://schemas.openxmlformats.org/officeDocument/2006/relationships/hyperlink" Target="https://www.facebook.com/aiot.global.inc" TargetMode="External"/><Relationship Id="rId11" Type="http://schemas.openxmlformats.org/officeDocument/2006/relationships/hyperlink" Target="https://github.com/SmtTheSE/Rental-Property-AI-Platform" TargetMode="External"/><Relationship Id="rId12" Type="http://schemas.openxmlformats.org/officeDocument/2006/relationships/hyperlink" Target="https://github.com/SmtTheSE/Conference" TargetMode="External"/><Relationship Id="rId13" Type="http://schemas.openxmlformats.org/officeDocument/2006/relationships/hyperlink" Target="https://github.com/SmtTheSE/docker_SBS" TargetMode="External"/><Relationship Id="rId14" Type="http://schemas.openxmlformats.org/officeDocument/2006/relationships/hyperlink" Target="https://github.com/SmtTheSE/Data-Cleanr" TargetMode="External"/><Relationship Id="rId15" Type="http://schemas.openxmlformats.org/officeDocument/2006/relationships/hyperlink" Target="https://github.com/SmtTheSE/DentalBridge" TargetMode="External"/><Relationship Id="rId16" Type="http://schemas.openxmlformats.org/officeDocument/2006/relationships/hyperlink" Target="https://github.com/SmtTheSE/Kamisori" TargetMode="External"/><Relationship Id="rId17" Type="http://schemas.openxmlformats.org/officeDocument/2006/relationships/hyperlink" Target="https://github.com/SmtTheSE/Dental-Blinding-Process-Projec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