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 w:val="0"/>
          <w:color w:val="000000"/>
          <w:sz w:val="44"/>
        </w:rPr>
        <w:t>SITT MIN THAR</w:t>
      </w:r>
    </w:p>
    <w:p>
      <w:pPr>
        <w:spacing w:after="120"/>
        <w:jc w:val="center"/>
      </w:pPr>
      <w:r>
        <w:rPr>
          <w:rFonts w:ascii="Times New Roman" w:hAnsi="Times New Roman"/>
          <w:b w:val="0"/>
          <w:color w:val="0563C1"/>
          <w:sz w:val="21"/>
          <w:u w:val="single"/>
        </w:rPr>
        <w:t>github.com/SmtTheSE</w:t>
      </w:r>
      <w:r>
        <w:rPr>
          <w:rFonts w:ascii="Times New Roman" w:hAnsi="Times New Roman"/>
          <w:sz w:val="21"/>
        </w:rPr>
        <w:t xml:space="preserve">  |  </w:t>
      </w:r>
      <w:r>
        <w:rPr>
          <w:rFonts w:ascii="Times New Roman" w:hAnsi="Times New Roman"/>
          <w:b w:val="0"/>
          <w:color w:val="0563C1"/>
          <w:sz w:val="21"/>
          <w:u w:val="single"/>
        </w:rPr>
        <w:t>sittminthar005@gmail.com</w:t>
      </w:r>
      <w:r>
        <w:rPr>
          <w:rFonts w:ascii="Times New Roman" w:hAnsi="Times New Roman"/>
          <w:sz w:val="21"/>
        </w:rPr>
        <w:t xml:space="preserve">  |  </w:t>
      </w:r>
      <w:r>
        <w:rPr>
          <w:rFonts w:ascii="Times New Roman" w:hAnsi="Times New Roman"/>
          <w:b w:val="0"/>
          <w:color w:val="0563C1"/>
          <w:sz w:val="21"/>
          <w:u w:val="single"/>
        </w:rPr>
        <w:t>sittminthar.from-mm.dev</w:t>
      </w:r>
    </w:p>
    <w:p>
      <w:pPr>
        <w:spacing w:before="100" w:after="20"/>
        <w:pBdr>
          <w:bottom w:val="single" w:sz="6" w:space="1" w:color="000000"/>
        </w:pBdr>
      </w:pPr>
      <w:r>
        <w:rPr>
          <w:rFonts w:ascii="Times New Roman" w:hAnsi="Times New Roman"/>
          <w:b/>
          <w:color w:val="000000"/>
          <w:sz w:val="23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080" w:type="dxa"/>
      </w:tblPr>
      <w:tblGrid>
        <w:gridCol w:w="5256"/>
        <w:gridCol w:w="5256"/>
      </w:tblGrid>
      <w:tr>
        <w:tc>
          <w:tcPr>
            <w:tcW w:type="dxa" w:w="8928"/>
            <w:tcW w:w="8928" w:type="dxa"/>
            <w:tcMar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Software Engineer | Ad Venture Studio</w:t>
            </w:r>
          </w:p>
        </w:tc>
        <w:tc>
          <w:tcPr>
            <w:tcW w:type="dxa" w:w="1152"/>
            <w:tcW w:w="1152" w:type="dxa"/>
            <w:tcMar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sz w:val="21"/>
              </w:rPr>
              <w:t>2026 -- Present</w:t>
            </w:r>
          </w:p>
        </w:tc>
      </w:tr>
    </w:tbl>
    <w:p>
      <w:pPr>
        <w:pStyle w:val="ListBullet"/>
        <w:spacing w:after="40"/>
        <w:ind w:left="360"/>
      </w:pPr>
      <w:r>
        <w:rPr>
          <w:rFonts w:ascii="Times New Roman" w:hAnsi="Times New Roman"/>
          <w:sz w:val="21"/>
        </w:rPr>
        <w:t>Building and shipping mobile apps for App Store and Google Play, owning product engineering, store releases, and app infrastructure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1"/>
        </w:rPr>
        <w:t>Partnering with design and monetization leads on UX, performance, and retention-oriented product engineering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080" w:type="dxa"/>
      </w:tblPr>
      <w:tblGrid>
        <w:gridCol w:w="5256"/>
        <w:gridCol w:w="5256"/>
      </w:tblGrid>
      <w:tr>
        <w:tc>
          <w:tcPr>
            <w:tcW w:type="dxa" w:w="8928"/>
            <w:tcW w:w="8928" w:type="dxa"/>
            <w:tcMar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 xml:space="preserve">Founding Engineer | </w:t>
            </w:r>
            <w:hyperlink r:id="rId9">
              <w:r>
                <w:rPr>
                  <w:rFonts w:ascii="Times New Roman" w:hAnsi="Times New Roman"/>
                  <w:sz w:val="21"/>
                  <w:color w:val="0563C1"/>
                  <w:u w:val="single"/>
                  <w:b/>
                </w:rPr>
                <w:t>Bravestep</w:t>
              </w:r>
            </w:hyperlink>
          </w:p>
        </w:tc>
        <w:tc>
          <w:tcPr>
            <w:tcW w:type="dxa" w:w="1152"/>
            <w:tcW w:w="1152" w:type="dxa"/>
            <w:tcMar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sz w:val="21"/>
              </w:rPr>
              <w:t>Present</w:t>
            </w:r>
          </w:p>
        </w:tc>
      </w:tr>
    </w:tbl>
    <w:p>
      <w:pPr>
        <w:pStyle w:val="ListBullet"/>
        <w:spacing w:after="40"/>
        <w:ind w:left="360"/>
      </w:pPr>
      <w:r>
        <w:rPr>
          <w:rFonts w:ascii="Times New Roman" w:hAnsi="Times New Roman"/>
          <w:sz w:val="21"/>
        </w:rPr>
        <w:t>Founding engineering role focused on systems direction and product infrastructure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080" w:type="dxa"/>
      </w:tblPr>
      <w:tblGrid>
        <w:gridCol w:w="5256"/>
        <w:gridCol w:w="5256"/>
      </w:tblGrid>
      <w:tr>
        <w:tc>
          <w:tcPr>
            <w:tcW w:type="dxa" w:w="8928"/>
            <w:tcW w:w="8928" w:type="dxa"/>
            <w:tcMar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 xml:space="preserve">Release-Acceptance Engineer | </w:t>
            </w:r>
            <w:hyperlink r:id="rId10">
              <w:r>
                <w:rPr>
                  <w:rFonts w:ascii="Times New Roman" w:hAnsi="Times New Roman"/>
                  <w:sz w:val="21"/>
                  <w:color w:val="0563C1"/>
                  <w:u w:val="single"/>
                  <w:b/>
                </w:rPr>
                <w:t>Malibu</w:t>
              </w:r>
            </w:hyperlink>
          </w:p>
        </w:tc>
        <w:tc>
          <w:tcPr>
            <w:tcW w:type="dxa" w:w="1152"/>
            <w:tcW w:w="1152" w:type="dxa"/>
            <w:tcMar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sz w:val="21"/>
              </w:rPr>
              <w:t>Present</w:t>
            </w:r>
          </w:p>
        </w:tc>
      </w:tr>
    </w:tbl>
    <w:p>
      <w:pPr>
        <w:pStyle w:val="ListBullet"/>
        <w:spacing w:after="40"/>
        <w:ind w:left="360"/>
      </w:pPr>
      <w:r>
        <w:rPr>
          <w:rFonts w:ascii="Times New Roman" w:hAnsi="Times New Roman"/>
          <w:sz w:val="21"/>
        </w:rPr>
        <w:t>Independent release-acceptance engineer for a macOS distributed-compute marketplace, serving as the physical-hardware validation gate between CI-green and fleet rollout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080" w:type="dxa"/>
      </w:tblPr>
      <w:tblGrid>
        <w:gridCol w:w="5256"/>
        <w:gridCol w:w="5256"/>
      </w:tblGrid>
      <w:tr>
        <w:tc>
          <w:tcPr>
            <w:tcW w:type="dxa" w:w="8928"/>
            <w:tcW w:w="8928" w:type="dxa"/>
            <w:tcMar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 xml:space="preserve">Software Development Intern | </w:t>
            </w:r>
            <w:hyperlink r:id="rId11">
              <w:r>
                <w:rPr>
                  <w:rFonts w:ascii="Times New Roman" w:hAnsi="Times New Roman"/>
                  <w:sz w:val="21"/>
                  <w:color w:val="0563C1"/>
                  <w:u w:val="single"/>
                  <w:b/>
                </w:rPr>
                <w:t>AIOT Inc</w:t>
              </w:r>
            </w:hyperlink>
          </w:p>
        </w:tc>
        <w:tc>
          <w:tcPr>
            <w:tcW w:type="dxa" w:w="1152"/>
            <w:tcW w:w="1152" w:type="dxa"/>
            <w:tcMar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sz w:val="21"/>
              </w:rPr>
              <w:t>Internship</w:t>
            </w:r>
          </w:p>
        </w:tc>
      </w:tr>
    </w:tbl>
    <w:p>
      <w:pPr>
        <w:pStyle w:val="ListBullet"/>
        <w:spacing w:after="40"/>
        <w:ind w:left="360"/>
      </w:pPr>
      <w:r>
        <w:rPr>
          <w:rFonts w:ascii="Times New Roman" w:hAnsi="Times New Roman"/>
          <w:sz w:val="21"/>
        </w:rPr>
        <w:t>Internship focused on backend integration, application structure, and production-minded software practices</w:t>
      </w:r>
    </w:p>
    <w:p>
      <w:pPr>
        <w:spacing w:before="100" w:after="20"/>
        <w:pBdr>
          <w:bottom w:val="single" w:sz="6" w:space="1" w:color="000000"/>
        </w:pBdr>
      </w:pPr>
      <w:r>
        <w:rPr>
          <w:rFonts w:ascii="Times New Roman" w:hAnsi="Times New Roman"/>
          <w:b/>
          <w:color w:val="000000"/>
          <w:sz w:val="23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080" w:type="dxa"/>
      </w:tblPr>
      <w:tblGrid>
        <w:gridCol w:w="5256"/>
        <w:gridCol w:w="5256"/>
      </w:tblGrid>
      <w:tr>
        <w:tc>
          <w:tcPr>
            <w:tcW w:type="dxa" w:w="8928"/>
            <w:tcW w:w="8928" w:type="dxa"/>
            <w:tcMar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B.S. Data Science -- Saigon Business School, Vietnam</w:t>
            </w:r>
          </w:p>
        </w:tc>
        <w:tc>
          <w:tcPr>
            <w:tcW w:type="dxa" w:w="1152"/>
            <w:tcW w:w="1152" w:type="dxa"/>
            <w:tcMar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sz w:val="21"/>
              </w:rPr>
              <w:t>Expected 2027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080" w:type="dxa"/>
      </w:tblPr>
      <w:tblGrid>
        <w:gridCol w:w="5256"/>
        <w:gridCol w:w="5256"/>
      </w:tblGrid>
      <w:tr>
        <w:tc>
          <w:tcPr>
            <w:tcW w:type="dxa" w:w="8928"/>
            <w:tcW w:w="8928" w:type="dxa"/>
            <w:tcMar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B.S. Software Engineering -- University of Computer Studies, Yangon</w:t>
            </w:r>
          </w:p>
        </w:tc>
        <w:tc>
          <w:tcPr>
            <w:tcW w:type="dxa" w:w="1152"/>
            <w:tcW w:w="1152" w:type="dxa"/>
            <w:tcMar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sz w:val="21"/>
              </w:rPr>
              <w:t>2022 -- 2024</w:t>
            </w:r>
          </w:p>
        </w:tc>
      </w:tr>
    </w:tbl>
    <w:p>
      <w:pPr>
        <w:spacing w:before="100" w:after="20"/>
        <w:pBdr>
          <w:bottom w:val="single" w:sz="6" w:space="1" w:color="000000"/>
        </w:pBdr>
      </w:pPr>
      <w:r>
        <w:rPr>
          <w:rFonts w:ascii="Times New Roman" w:hAnsi="Times New Roman"/>
          <w:b/>
          <w:color w:val="000000"/>
          <w:sz w:val="23"/>
        </w:rPr>
        <w:t>PROJECTS</w:t>
      </w:r>
    </w:p>
    <w:p>
      <w:pPr>
        <w:spacing w:after="0"/>
      </w:pPr>
      <w:hyperlink r:id="rId12">
        <w:r>
          <w:rPr>
            <w:rFonts w:ascii="Times New Roman" w:hAnsi="Times New Roman"/>
            <w:sz w:val="22"/>
            <w:color w:val="0563C1"/>
            <w:u w:val="single"/>
            <w:b/>
          </w:rPr>
          <w:t>Rental Property AI Platform</w:t>
        </w:r>
      </w:hyperlink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1"/>
        </w:rPr>
        <w:t>10M-dataset-powered demand forecasting and gap analysis engine processing rental listings across 40 Indian cities (Python, Flask, Scikit-learn, Next.js)</w:t>
      </w:r>
    </w:p>
    <w:p>
      <w:pPr>
        <w:spacing w:after="0"/>
      </w:pPr>
      <w:hyperlink r:id="rId13">
        <w:r>
          <w:rPr>
            <w:rFonts w:ascii="Times New Roman" w:hAnsi="Times New Roman"/>
            <w:sz w:val="22"/>
            <w:color w:val="0563C1"/>
            <w:u w:val="single"/>
            <w:b/>
          </w:rPr>
          <w:t>Ultimate ByteMe: Pan-Asian Real Estate Intelligence</w:t>
        </w:r>
      </w:hyperlink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1"/>
        </w:rPr>
        <w:t>Computational intelligence platform for the 1st Synergia International Conference 2026 with a LightGBM valuation engine, an investment opportunity scanner, and a RAG-grounded AI assistant on Qwen2.5/Gemini (Next.js, Python, Flask, LightGBM, Ollama)</w:t>
      </w:r>
    </w:p>
    <w:p>
      <w:pPr>
        <w:spacing w:after="0"/>
      </w:pPr>
      <w:hyperlink r:id="rId14">
        <w:r>
          <w:rPr>
            <w:rFonts w:ascii="Times New Roman" w:hAnsi="Times New Roman"/>
            <w:sz w:val="22"/>
            <w:color w:val="0563C1"/>
            <w:u w:val="single"/>
            <w:b/>
          </w:rPr>
          <w:t>SBS Student Serving System</w:t>
        </w:r>
      </w:hyperlink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1"/>
        </w:rPr>
        <w:t>Full-stack academic platform for Saigon Business School with a Spring Boot 3 REST API and React 18 frontend, JWT authentication, and role-based access control (Java 21, Spring Boot 3, React 18, Docker, AWS S3)</w:t>
      </w:r>
    </w:p>
    <w:p>
      <w:pPr>
        <w:spacing w:after="0"/>
      </w:pPr>
      <w:hyperlink r:id="rId15">
        <w:r>
          <w:rPr>
            <w:rFonts w:ascii="Times New Roman" w:hAnsi="Times New Roman"/>
            <w:sz w:val="22"/>
            <w:color w:val="0563C1"/>
            <w:u w:val="single"/>
            <w:b/>
          </w:rPr>
          <w:t>HeadRoom</w:t>
        </w:r>
      </w:hyperlink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1"/>
        </w:rPr>
        <w:t>Workplace-capacity negotiation tool built in 3 days for RMIT's ADC Hackathon 2026 (Neurodivergence track); ADHD-first Focus Mode and a zero-violation WCAG 2.2 AA audit (React, TypeScript, Supabase, Gemini AI)</w:t>
      </w:r>
    </w:p>
    <w:p>
      <w:pPr>
        <w:spacing w:after="0"/>
      </w:pPr>
      <w:hyperlink r:id="rId16">
        <w:r>
          <w:rPr>
            <w:rFonts w:ascii="Times New Roman" w:hAnsi="Times New Roman"/>
            <w:sz w:val="22"/>
            <w:color w:val="0563C1"/>
            <w:u w:val="single"/>
            <w:b/>
          </w:rPr>
          <w:t>Kamisori</w:t>
        </w:r>
      </w:hyperlink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1"/>
        </w:rPr>
        <w:t>“Embrace the Future” -- e-commerce platform for a local clothing brand in Myanmar; architected a secure, scalable backend ensuring data integrity (PostgreSQL, Supabase, Edge Functions)</w:t>
      </w:r>
    </w:p>
    <w:p>
      <w:pPr>
        <w:spacing w:after="0"/>
      </w:pPr>
      <w:hyperlink r:id="rId17">
        <w:r>
          <w:rPr>
            <w:rFonts w:ascii="Times New Roman" w:hAnsi="Times New Roman"/>
            <w:sz w:val="22"/>
            <w:color w:val="0563C1"/>
            <w:u w:val="single"/>
            <w:b/>
          </w:rPr>
          <w:t>Dental Blinding &amp; Age Estimation</w:t>
        </w:r>
      </w:hyperlink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1"/>
        </w:rPr>
        <w:t>Internal pediatric dental age estimation system for the University of Dental Medicine, Mandalay, implementing the AlQahtani and Demirjian methods with a role-based Supervisor/PI blinding workflow to eliminate analysis bias (Python, Flask, PostgreSQL)</w:t>
      </w:r>
    </w:p>
    <w:p>
      <w:pPr>
        <w:spacing w:before="100" w:after="20"/>
        <w:pBdr>
          <w:bottom w:val="single" w:sz="6" w:space="1" w:color="000000"/>
        </w:pBdr>
      </w:pPr>
      <w:r>
        <w:rPr>
          <w:rFonts w:ascii="Times New Roman" w:hAnsi="Times New Roman"/>
          <w:b/>
          <w:color w:val="000000"/>
          <w:sz w:val="23"/>
        </w:rPr>
        <w:t>OPEN SOURCE</w:t>
      </w:r>
    </w:p>
    <w:p>
      <w:pPr>
        <w:spacing w:after="0"/>
      </w:pPr>
      <w:hyperlink r:id="rId18">
        <w:r>
          <w:rPr>
            <w:rFonts w:ascii="Times New Roman" w:hAnsi="Times New Roman"/>
            <w:sz w:val="22"/>
            <w:color w:val="0563C1"/>
            <w:u w:val="single"/>
            <w:b/>
          </w:rPr>
          <w:t>BuddyUsage</w:t>
        </w:r>
      </w:hyperlink>
    </w:p>
    <w:p>
      <w:pPr>
        <w:pStyle w:val="ListBullet"/>
        <w:spacing w:after="40"/>
        <w:ind w:left="360"/>
      </w:pPr>
      <w:r>
        <w:rPr>
          <w:rFonts w:ascii="Times New Roman" w:hAnsi="Times New Roman"/>
          <w:sz w:val="21"/>
        </w:rPr>
        <w:t>Menu-bar usage tracker for Claude, Codex, Gemini, Cursor and Copilot with pace prediction and local agent control; exposes usage as a local MCP server. 25 releases, macOS/Windows/Linux (Electron, TypeScript)</w:t>
      </w:r>
    </w:p>
    <w:p>
      <w:pPr>
        <w:spacing w:before="100" w:after="20"/>
        <w:pBdr>
          <w:bottom w:val="single" w:sz="6" w:space="1" w:color="000000"/>
        </w:pBdr>
      </w:pPr>
      <w:r>
        <w:rPr>
          <w:rFonts w:ascii="Times New Roman" w:hAnsi="Times New Roman"/>
          <w:b/>
          <w:color w:val="000000"/>
          <w:sz w:val="23"/>
        </w:rPr>
        <w:t>SKILLS</w:t>
      </w:r>
    </w:p>
    <w:p>
      <w:pPr>
        <w:spacing w:after="40"/>
      </w:pPr>
      <w:r>
        <w:rPr>
          <w:rFonts w:ascii="Times New Roman" w:hAnsi="Times New Roman"/>
          <w:b/>
          <w:sz w:val="21"/>
        </w:rPr>
        <w:t xml:space="preserve">Programming: </w:t>
      </w:r>
      <w:r>
        <w:rPr>
          <w:rFonts w:ascii="Times New Roman" w:hAnsi="Times New Roman"/>
          <w:sz w:val="21"/>
        </w:rPr>
        <w:t>Python (Flask, FastAPI, Pandas, NumPy, Scikit-learn, LightGBM), Java (Spring Boot), Go, PHP, JavaScript/TypeScript, SQL</w:t>
      </w:r>
    </w:p>
    <w:p>
      <w:pPr>
        <w:spacing w:after="40"/>
      </w:pPr>
      <w:r>
        <w:rPr>
          <w:rFonts w:ascii="Times New Roman" w:hAnsi="Times New Roman"/>
          <w:b/>
          <w:sz w:val="21"/>
        </w:rPr>
        <w:t xml:space="preserve">Software: </w:t>
      </w:r>
      <w:r>
        <w:rPr>
          <w:rFonts w:ascii="Times New Roman" w:hAnsi="Times New Roman"/>
          <w:sz w:val="21"/>
        </w:rPr>
        <w:t>Docker, Nginx, AWS (S3, EC2), PostgreSQL, MySQL, Git, GitHub, VPS/SSL, CI/CD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ravestep.ai/" TargetMode="External"/><Relationship Id="rId10" Type="http://schemas.openxmlformats.org/officeDocument/2006/relationships/hyperlink" Target="https://malibu.tech/" TargetMode="External"/><Relationship Id="rId11" Type="http://schemas.openxmlformats.org/officeDocument/2006/relationships/hyperlink" Target="https://www.facebook.com/aiot.global.inc" TargetMode="External"/><Relationship Id="rId12" Type="http://schemas.openxmlformats.org/officeDocument/2006/relationships/hyperlink" Target="https://github.com/SmtTheSE/Rental-Property-AI-Platform" TargetMode="External"/><Relationship Id="rId13" Type="http://schemas.openxmlformats.org/officeDocument/2006/relationships/hyperlink" Target="https://github.com/SmtTheSE/Conference" TargetMode="External"/><Relationship Id="rId14" Type="http://schemas.openxmlformats.org/officeDocument/2006/relationships/hyperlink" Target="https://github.com/SmtTheSE/docker_SBS" TargetMode="External"/><Relationship Id="rId15" Type="http://schemas.openxmlformats.org/officeDocument/2006/relationships/hyperlink" Target="https://github.com/SmtTheSE/HeadRoom" TargetMode="External"/><Relationship Id="rId16" Type="http://schemas.openxmlformats.org/officeDocument/2006/relationships/hyperlink" Target="https://github.com/SmtTheSE/Kamisori" TargetMode="External"/><Relationship Id="rId17" Type="http://schemas.openxmlformats.org/officeDocument/2006/relationships/hyperlink" Target="https://github.com/SmtTheSE/Dental-Blinding-Process-Project" TargetMode="External"/><Relationship Id="rId18" Type="http://schemas.openxmlformats.org/officeDocument/2006/relationships/hyperlink" Target="https://github.com/SmtTheSE/BuddyUs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