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4686300</wp:posOffset>
            </wp:positionH>
            <wp:positionV relativeFrom="paragraph">
              <wp:posOffset>114300</wp:posOffset>
            </wp:positionV>
            <wp:extent cx="1243013" cy="164889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16488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CLÍNICA PSIQUIÁTRICA JOHNSON </w:t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Dr. Maria Alejandra Rodas</w:t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Nombre del Paciente: Maria José Rodriguez Cerrato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Edad: 16 años</w:t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este documento se encuentra el resultado psiquiátrico de la paciente Número 14, y tuvimos en total 6 sesiones en dos meses  donde les puedo comunicar que la señorita aquí presente sufrió abuso, en este caso de explotación laboral hacia los empleados que operan en la empresa y ella fue una de las afectadas.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 paciente comentó sobre haberse sentido infravalorada y explotada. Esto se debe a cómo están estructurados los contratos, que son temporales y no generan una estabilidad a sus trabajadores.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lo que respecta a la explotación laboral,ella ha mencionado que en ocasiones la han llegado a hacer trabajar, siete días a la semana y 10 horas al día, por un sueldo bajo de lo que se debería de pagar. Ha llegado al punto de haber trabajado 28 días seguidos.Turnos de doce horas. Y ese fue el inicio de su colapso.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nivel psiquiátrico le puedo decir que en el tiempo que he atendido a la señorita aquí presente a sufrido de una dimensión psicológica que la han hecho padecer alteraciones emocionales como por ejemplo ansiedad, ira, tristeza, baja autoestima,alteraciones cognitivas o de  pensamiento,dificultad para concentrarse o tomar decisiones, despistes, sensación de tener la mente en blanco, y cambios en el comportamiento (incremento en el consumo de sustancias como cafeína, tabaco, etcétera,)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-Consecuencias: estos síntomas de estrés a nivel psicológico pueden llegar a patologizar dando lugar a trastornos psicológicos como ansiedad, depresión, problemas asociados al consumo de sustancias, etcétera.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-Dimensión biológica: aumento de la frecuencia cardiaca y respiratoria, incremento de la tensión muscular, alteraciones en las pautas de sueño, alteraciones digestivas…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-Consecuencias: dependiendo de los órganos activados por el estrés (órganos diana) y del tiempo que permanezcan activados, a este nivel pueden aparecer consecuencias negativas para la salud como la hipertensión arterial esencial, problemas digestivos, cefaleas, fatiga, dolores musculares, insomnio, etcétera.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-Dimensión social: el ámbito al que primero afecta el estrés laboral es el propio trabajo, ya que quien lo padece se implica cada vez menos en el mismo y progresivamente lo manifiesta en forma de absentismo, bajo rendimiento, escasas o nulas relaciones laborales, y su actitud repercute de forma negativa en el clima organizacional. A su vez, fuera de las fronteras del trabajo el estrés laboral también pasa factura al afectado, que disminuye sus relaciones sociales, familiares o de pareja, deteriorando la calidad de las mismas y dedicando menos tiempo a sus aficiones.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Consecuencias: las consecuencias de estos síntomas prolongados en el tiempo son los problemas sociales, familiares o de pareja, así como las malas relaciones en el trabajo y un posible despido.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Eso es todo gracias a su señoría.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