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计算与智能创新学院</w:t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计算机科学与技术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本项目遵循课程第五讲 MoleculeNet/DeepChem 的作业口径（BACE / SMILES / 1513 / 回归 / MAE + Pearson R），完成“数据整理→模型构建→训练→分析”的完整链路；实现上用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RTX 5880 Ada（48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的预测区间宽度可预警高误差风险、支持拒识策略（难例按测试误差事后定义，但区间宽度在预测时即可用）——58%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预警高误差风险：拒识最不确定者后保留集 MAE 明显下降；58% 难例落在 90% 区间外" title="图 10　TabPFN 不确定性预警高误差风险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不确定性预警高误差风险：拒识最不确定者后保留集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泛化性能明显退化（0.674→1.134）——TabPFN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14）。需要说明的是，悬崖对之间存在共享配体，pair-level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误差不是随机的：高度集中在活性悬崖、标签冲突、新骨架与极端活性分子；调参只缩小幅度、不改变“谁难”；不确定性可预警高误差风险、支持拒识策略，使“何时降低预测可信度”变得可操作。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可解释性显示模型抓到的是可学习的结构-活性相关信号：分子大小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结构复核”，未涉及分子生成、逆合成或新靶标发现——课程允许选择其中一项预测任务，本项目选定并完整实现了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条件覆盖三条轴上对新化学的泛化均达第一梯队或最稳；模型误差系统性集中在活性悬崖、标签冲突与新骨架，且可被不确定性预警（支持拒识策略）；结构方法（对接、PBCNet2）在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2026-06-23T06:54:58.042Z</dcterms:created>
  <dcterms:modified xsi:type="dcterms:W3CDTF">2026-06-23T06:54:58.047Z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