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计算与智能创新学院</w:t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计算机科学与技术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本项目遵循课程第五讲 MoleculeNet/DeepChem 的作业口径（BACE / SMILES / 1513 / 回归 / MAE + Pearson R），完成“数据整理→模型构建→训练→分析”的完整链路；实现上用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RTX 5880 Ada（48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的预测区间宽度可预警高误差风险、支持拒识策略（难例按测试误差事后定义，但区间宽度在预测时即可用）——58%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预警高误差风险：拒识最不确定者后保留集 MAE 明显下降；58% 难例落在 90% 区间外" title="图 10　TabPFN 不确定性预警高误差风险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不确定性预警高误差风险：拒识最不确定者后保留集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泛化性能明显退化（0.674→1.134）——TabPFN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Å，支持基础对接设置合理（图 14）。在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15）。需要说明的是，悬崖对之间存在共享配体，pair-level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误差不是随机的：高度集中在活性悬崖、标签冲突、新骨架与极端活性分子；调参只缩小幅度、不改变“谁难”；不确定性可预警高误差风险、支持拒识策略，使“何时降低预测可信度”变得可操作。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可解释性显示模型抓到的是可学习的结构-活性相关信号：分子大小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结构复核”，未涉及分子生成、逆合成或新靶标发现——课程允许选择其中一项预测任务，本项目选定并完整实现了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条件覆盖三条轴上对新化学的泛化均达第一梯队或最稳；模型误差系统性集中在活性悬崖、标签冲突与新骨架，且可被不确定性预警（支持拒识策略）；结构方法（对接、PBCNet2）在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2026-06-23T06:23:59.240Z</dcterms:created>
  <dcterms:modified xsi:type="dcterms:W3CDTF">2026-06-23T06:23:59.245Z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