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40"/>
          <w:szCs w:val="40"/>
        </w:rPr>
        <w:t xml:space="preserve">基于五类分子表征的 ADMET 性质预测、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结构对接与可信度评估</w:t>
      </w:r>
    </w:p>
    <w:p>
      <w:pPr>
        <w:spacing w:after="1200"/>
        <w:jc w:val="center"/>
      </w:pPr>
      <w:r>
        <w:rPr>
          <w:color w:val="555555"/>
          <w:sz w:val="24"/>
          <w:szCs w:val="24"/>
        </w:rPr>
        <w:t xml:space="preserve">复旦大学药学院《AI 赋能药物设计发现前沿》期末实验报告</w:t>
      </w:r>
    </w:p>
    <w:p>
      <w:pPr>
        <w:spacing w:after="80"/>
        <w:jc w:val="center"/>
      </w:pPr>
      <w:r>
        <w:rPr>
          <w:sz w:val="22"/>
          <w:szCs w:val="22"/>
        </w:rPr>
        <w:t xml:space="preserve">姓名/学号：____________________</w:t>
      </w:r>
    </w:p>
    <w:p>
      <w:pPr>
        <w:spacing w:after="80"/>
        <w:jc w:val="center"/>
      </w:pPr>
      <w:r>
        <w:rPr>
          <w:sz w:val="22"/>
          <w:szCs w:val="22"/>
        </w:rPr>
        <w:t xml:space="preserve">授课教师：戚逸飞 / 王任小</w:t>
      </w:r>
    </w:p>
    <w:p>
      <w:pPr>
        <w:spacing w:after="80"/>
        <w:jc w:val="center"/>
      </w:pPr>
      <w:r>
        <w:rPr>
          <w:sz w:val="22"/>
          <w:szCs w:val="22"/>
        </w:rPr>
        <w:t xml:space="preserve">算力：8 × NVIDIA RTX 5880 Ada (48GB)</w:t>
      </w:r>
    </w:p>
    <w:p>
      <w:pPr>
        <w:jc w:val="center"/>
      </w:pPr>
      <w:r>
        <w:rPr>
          <w:sz w:val="22"/>
          <w:szCs w:val="22"/>
        </w:rPr>
        <w:t xml:space="preserve">日期：2026 年 6 月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240"/>
      </w:pPr>
      <w:r>
        <w:t xml:space="preserve">摘要</w:t>
      </w:r>
    </w:p>
    <w:p>
      <w:pPr>
        <w:spacing w:after="120" w:line="276"/>
      </w:pPr>
      <w:r>
        <w:t xml:space="preserve">成药性质（ADMET）的早期预测是现代药物发现的关键环节。本报告按课程期末作业要求，对教师提供的 6 个 MoleculeNet 数据集（5 个回归任务 + 1 个分类任务），系统比较了课程介绍的两种建模策略——策略一（SMILES → 编码器 → 机器学习）与策略二（SMILES → 二维分子图 → 图神经网络）——并补充了一个超纲的三维几何模型，共 5 类分子表征骨架：随机森林+Morgan 指纹、MolFormer-XL、ChemFM-3B、Chemprop D-MPNN（图网络）、Uni-Mol（3D）。</w:t>
      </w:r>
    </w:p>
    <w:p>
      <w:pPr>
        <w:spacing w:after="120" w:line="276"/>
      </w:pPr>
      <w:r>
        <w:t xml:space="preserve">在回归任务上，图网络（Chemprop）与三维几何模型（Uni-Mol）总体领先于指纹/序列方法：二者包揽 Pearson R 前二，Chemprop 在 BACE 上最高（0.835）；BBBP 分类则以序列模型 MolFormer-XL 最强（ROC-AUC 0.977）。我们进一步将 BACE 高活性配体对接进 β-secretase 晶体结构，并贯彻一套科研级可复现性审计（数据泄漏检查、阴性对照、分子大小混杂控制），主动披露全部局限。方法学主线上，我们给出跨基础模型的 conformal 预测可信度评估。</w:t>
      </w:r>
    </w:p>
    <w:p>
      <w:pPr>
        <w:pStyle w:val="Heading1"/>
        <w:spacing w:after="140" w:before="240"/>
      </w:pPr>
      <w:r>
        <w:t xml:space="preserve">1  引言</w:t>
      </w:r>
    </w:p>
    <w:p>
      <w:pPr>
        <w:spacing w:after="120" w:line="276"/>
      </w:pPr>
      <w:r>
        <w:t xml:space="preserve">当代新药研发平均耗时 10 年以上、花费超 10 亿美元；每 1 万个进入研究的化合物中，最终仅约 1 个上市。在早期高效淘汰成药性质差的候选物，是降低研发成本的核心策略，而 ADMET（吸收、分布、代谢、排泄、毒性）预测正是这一环节的关键计算工具。</w:t>
      </w:r>
    </w:p>
    <w:p>
      <w:pPr>
        <w:spacing w:after="120" w:line="276"/>
      </w:pPr>
      <w:r>
        <w:t xml:space="preserve">本课程作业要求：选择课程介绍的某项人工智能药物设计预测任务，完成数据整理、模型构建、训练与分析，并撰写书面报告。课程给出两种建模策略：策略一基于 SMILES 字符串编码 + 机器学习；策略二基于二维分子图的图神经网络。本报告不局限于单一任务，而是在全部 6 个数据集上系统比较两种策略的代表模型，并补充结构对接与方法学探索，力求覆盖课程全部知识点。</w:t>
      </w:r>
    </w:p>
    <w:p>
      <w:pPr>
        <w:pStyle w:val="Heading1"/>
        <w:spacing w:after="140" w:before="240"/>
      </w:pPr>
      <w:r>
        <w:t xml:space="preserve">2  数据与任务设定</w:t>
      </w:r>
    </w:p>
    <w:p>
      <w:pPr>
        <w:spacing w:after="120" w:line="276"/>
      </w:pPr>
      <w:r>
        <w:t xml:space="preserve">课程提供 6 个 MoleculeNet 数据集，任务类型与评价指标如下表（均为教师钦定）。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1100"/>
        <w:gridCol w:w="11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预测性质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分子数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ESOL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水溶性 logS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FreeSolv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水合自由能 ΔG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Lipophilicity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脂溶性 logD@7.4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β-secretase IC50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BBBP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血脑屏障渗透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分类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GSHt1/2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共价反应性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MAE / Pearson R</w:t>
            </w:r>
          </w:p>
        </w:tc>
      </w:tr>
    </w:tbl>
    <w:p>
      <w:pPr>
        <w:spacing w:after="100"/>
      </w:pPr>
      <w:r>
        <w:rPr>
          <w:b/>
          <w:bCs/>
        </w:rPr>
        <w:t xml:space="preserve">数据纪律：</w:t>
      </w:r>
      <w:r>
        <w:t xml:space="preserve">所有 SMILES 经 RDKit canonical 化一次；解析失败的分子记录数量后剔除（不静默丢弃）；任何标准化仅在训练折上拟合，防止信息泄漏。</w:t>
      </w:r>
    </w:p>
    <w:p>
      <w:pPr>
        <w:pStyle w:val="Heading1"/>
        <w:spacing w:after="140" w:before="240"/>
      </w:pPr>
      <w:r>
        <w:t xml:space="preserve">3  方法</w:t>
      </w:r>
    </w:p>
    <w:p>
      <w:pPr>
        <w:pStyle w:val="Heading2"/>
        <w:spacing w:after="100" w:before="160"/>
      </w:pPr>
      <w:r>
        <w:t xml:space="preserve">3.1  两种建模策略与五类表征</w:t>
      </w:r>
    </w:p>
    <w:p>
      <w:pPr>
        <w:spacing w:after="120" w:line="276"/>
      </w:pPr>
      <w:r>
        <w:t xml:space="preserve">我们覆盖课程的两种策略，并各取代表模型；额外加入一个三维几何模型作为超纲对照：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策略一（SMILES→编码器→ML）：</w:t>
      </w:r>
      <w:r>
        <w:t xml:space="preserve">随机森林 + Morgan 指纹（radius 2, 2048 位）；MolFormer-XL（11 亿分子预训练的序列 Transformer，47M 参数）；ChemFM-3B（30 亿参数解码器大模型，LoRA 微调）。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策略二（SMILES→二维图→GNN）：</w:t>
      </w:r>
      <w:r>
        <w:t xml:space="preserve">Chemprop D-MPNN——有向键消息传递网络，在原子（节点）+ 键（边）特征上做图学习。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超纲（三维几何）：</w:t>
      </w:r>
      <w:r>
        <w:t xml:space="preserve">Uni-Mol，SE(3)-Transformer，显式利用 RDKit ETKDGv3 生成的 3D 构象。</w:t>
      </w:r>
    </w:p>
    <w:p>
      <w:pPr>
        <w:pStyle w:val="Heading2"/>
        <w:spacing w:after="100" w:before="160"/>
      </w:pPr>
      <w:r>
        <w:t xml:space="preserve">3.2  评估协议</w:t>
      </w:r>
    </w:p>
    <w:p>
      <w:pPr>
        <w:spacing w:after="120" w:line="276"/>
      </w:pPr>
      <w:r>
        <w:t xml:space="preserve">每个（数据集 × 模型）组合跑 3 个随机种子（42 / 1337 / 2024）取均值 ± 标准差。回归报告 MAE 与 Pearson R（课程指标），分类报告 ROC-AUC；并辅以 RMSE / Spearman ρ / F1 / MCC。回归目标在训练折上 z 标准化（防泄漏），评估时还原到原单位。</w:t>
      </w:r>
    </w:p>
    <w:p>
      <w:pPr>
        <w:pStyle w:val="Heading2"/>
        <w:spacing w:after="100" w:before="160"/>
      </w:pPr>
      <w:r>
        <w:t xml:space="preserve">3.3  结构对接模块</w:t>
      </w:r>
    </w:p>
    <w:p>
      <w:pPr>
        <w:spacing w:after="120" w:line="276"/>
      </w:pPr>
      <w:r>
        <w:t xml:space="preserve">从 PDB 4D8C 提取 β-secretase A 链，用 Meeko 准备受体，以共晶配体 BXD 定义口袋盒子（中心 30.58, 6.24, 14.52；尺寸 22×22×26 Å）。BACE 配体经 RDKit 3D 嵌入 + Meeko 转 PDBQT，用 AutoDock Vina 对接，对比 docking 打分与实验 pIC50。</w:t>
      </w:r>
    </w:p>
    <w:p>
      <w:pPr>
        <w:pStyle w:val="Heading1"/>
        <w:spacing w:after="140" w:before="240"/>
      </w:pPr>
      <w:r>
        <w:t xml:space="preserve">4  结果</w:t>
      </w:r>
    </w:p>
    <w:p>
      <w:pPr>
        <w:pStyle w:val="Heading2"/>
        <w:spacing w:after="100" w:before="160"/>
      </w:pPr>
      <w:r>
        <w:t xml:space="preserve">4.1  回归基准（Pearson R / MAE）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数据集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Chemprop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MolFormer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ChemFM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Uni-Mol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ESOL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0.953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0.900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0.769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0.966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FreeSolv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0.937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0.679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0.967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Lipophilicity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0.695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0.875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0.860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0.756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0.875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0.798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0.800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GSHt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0.722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0.545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0.327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0.749</w:t>
            </w:r>
          </w:p>
        </w:tc>
      </w:tr>
    </w:tbl>
    <w:p>
      <w:pPr>
        <w:spacing w:after="60"/>
      </w:pPr>
      <w:r>
        <w:t xml:space="preserve">表中为 Pearson R（越高越好，3 seed 均值）。下图同时给出 MAE 与 Pearson R 两个面板。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fig_benchmark_regression.png" descr="图 1  五类骨架在 5 个回归任务上的性能：上 MAE（越低越好）、下 Pearson R（越高越好）；误差棒为 3 seed 标准差（验证集）" title="图 1  五类骨架在 5 个回归任务上的性能：上 MAE（越低越好）、下 Pearson R（越高越好）；误差棒为 3 seed 标准差（验证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1  五类骨架在 5 个回归任务上的性能：上 MAE（越低越好）、下 Pearson R（越高越好）；误差棒为 3 seed 标准差（验证集）</w:t>
      </w:r>
    </w:p>
    <w:p>
      <w:pPr>
        <w:pStyle w:val="Heading2"/>
        <w:spacing w:after="100" w:before="160"/>
      </w:pPr>
      <w:r>
        <w:t xml:space="preserve">4.2  分类基准（BBBP）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Chemprop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MolFormer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ChemFM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Uni-Mol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0.977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0.971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0.891</w:t>
            </w:r>
          </w:p>
        </w:tc>
      </w:tr>
    </w:tbl>
    <w:p>
      <w:pPr>
        <w:spacing w:after="60"/>
      </w:pPr>
      <w:r>
        <w:t xml:space="preserve">表中为 ROC-AUC（3 seed 均值）。下图同时报告四项分类指标——MCC 才暴露真实差距：ROC-AUC / PR-AUC / F1 都在 0.9 附近难分高下，但 MCC 上 MolFormer 与 ChemFM（约 0.80）明显领先 RF / Chemprop / Uni-Mol（约 0.65）。这正是单一指标会掩盖、必须四指标并报的原因。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209925"/>
            <wp:effectExtent t="0" r="0" b="0" l="0"/>
            <wp:docPr id="1" name="fig_benchmark_classification.png" descr="图 2  BBBP 分类四指标（ROC-AUC / PR-AUC / F1 / MCC）；误差棒为 3 seed 标准差（验证集）" title="图 2  BBBP 分类四指标（ROC-AUC / PR-AUC / F1 / MCC）；误差棒为 3 seed 标准差（验证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2  BBBP 分类四指标（ROC-AUC / PR-AUC / F1 / MCC）；误差棒为 3 seed 标准差（验证集）</w:t>
      </w:r>
    </w:p>
    <w:p>
      <w:pPr>
        <w:pStyle w:val="Heading2"/>
        <w:spacing w:after="100" w:before="160"/>
      </w:pPr>
      <w:r>
        <w:t xml:space="preserve">4.3  策略一 vs 策略二</w:t>
      </w:r>
    </w:p>
    <w:p>
      <w:pPr>
        <w:spacing w:after="120" w:line="276"/>
      </w:pPr>
      <w:r>
        <w:t xml:space="preserve">核心结论是没有单一最优骨架，最佳表征取决于任务性质与数据规模。回归任务上，图网络（策略二，Chemprop）与三维几何模型（Uni-Mol）总体领先于指纹/序列方法（策略一）：二者包揽 Pearson R 前二，Chemprop 在 BACE 上达全场最高 0.835、MAE 一致优于随机森林。ChemFM-3B 因 LoRA 微调在小数据集失配而最弱（GSHt Pearson R 仅 0.327）。BBBP 分类则由序列 Transformer（MolFormer-XL）领先。</w:t>
      </w:r>
    </w:p>
    <w:p>
      <w:pPr>
        <w:pStyle w:val="Heading2"/>
        <w:spacing w:after="100" w:before="160"/>
      </w:pPr>
      <w:r>
        <w:t xml:space="preserve">4.4  BACE 结构对接</w:t>
      </w:r>
    </w:p>
    <w:p>
      <w:pPr>
        <w:spacing w:after="120" w:line="276"/>
      </w:pPr>
      <w:r>
        <w:t xml:space="preserve">在重原子 [20,40] 的类药窗口内取 30 个跨活性范围的配体对接。原始 Pearson(pIC50, vina) = −0.34；由于 Vina 打分对大分子有偏，控制分子大小后的偏相关为 −0.29——物理对接打分与活性呈弱负相关（结合越强、打分越负，符合预期），但明显弱于机器学习对活性的排序能力。对接的价值更多在于提供可解释的结合模式假设。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105150"/>
            <wp:effectExtent t="0" r="0" b="0" l="0"/>
            <wp:docPr id="1" name="fig_bace_docking.png" descr="图 3  BACE 配体 docking 打分 vs 实验 pIC50（颜色为重原子数）；n=30，Pearson r=−0.34 未达显著（p=0.069），控制分子大小后偏相关 −0.29" title="图 3  BACE 配体 docking 打分 vs 实验 pIC50（颜色为重原子数）；n=30，Pearson r=−0.34 未达显著（p=0.069），控制分子大小后偏相关 −0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3  BACE 配体 docking 打分 vs 实验 pIC50（颜色为重原子数）；n=30，Pearson r=−0.34 未达显著（p=0.069），控制分子大小后偏相关 −0.29</w:t>
      </w:r>
    </w:p>
    <w:p>
      <w:pPr>
        <w:spacing w:after="120" w:line="276"/>
      </w:pPr>
      <w:r>
        <w:t xml:space="preserve">需强调：n=30 时 r=−0.34 并未达到统计显著（p=0.069）。我们如实标注这一点，不夸大物理打分的活性预测力——其价值在于提供可解释的结合模式假设，而非定量排序。</w:t>
      </w:r>
    </w:p>
    <w:p>
      <w:pPr>
        <w:pStyle w:val="Heading2"/>
        <w:spacing w:after="100" w:before="160"/>
      </w:pPr>
      <w:r>
        <w:t xml:space="preserve">4.5  稳健性补充：活性悬崖压力测试</w:t>
      </w:r>
    </w:p>
    <w:p>
      <w:pPr>
        <w:spacing w:after="120" w:line="276"/>
      </w:pPr>
      <w:r>
        <w:t xml:space="preserve">作为对泛化能力的额外压力测试，我们在 MoleculeACE 基准（30 个 ChEMBL 活性靶；属外部数据，仅作确认性分析，不计入课程 6 数据集）上比较各骨架在“活性悬崖”（结构相似但活性悬殊的分子对）与非悬崖样本上的 RMSE。结论与近期文献（CheMeleon 2026；SemiMol）一致：所有骨架在悬崖上误差都更高（cliff ratio &gt; 1），其中三维 Uni-Mol 受影响最重（中位 ratio 1.25，97% 的靶 &gt; 1），序列 MolFormer 最轻（1.04）。即基础模型并未真正攻克活性悬崖——我们在此确认该现象，但不将其作为主要贡献。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fig_activity_cliff.png" descr="图 4  活性悬崖压力测试（MoleculeACE，30 靶）：左为各靶 off- vs on-cliff RMSE（对角线上方 = 悬崖更差），右为 cliff ratio 分布（&gt; 1 = 受悬崖惩罚）" title="图 4  活性悬崖压力测试（MoleculeACE，30 靶）：左为各靶 off- vs on-cliff RMSE（对角线上方 = 悬崖更差），右为 cliff ratio 分布（&gt; 1 = 受悬崖惩罚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4  活性悬崖压力测试（MoleculeACE，30 靶）：左为各靶 off- vs on-cliff RMSE（对角线上方 = 悬崖更差），右为 cliff ratio 分布（&gt; 1 = 受悬崖惩罚）</w:t>
      </w:r>
    </w:p>
    <w:p>
      <w:pPr>
        <w:pStyle w:val="Heading1"/>
        <w:spacing w:after="140" w:before="240"/>
      </w:pPr>
      <w:r>
        <w:t xml:space="preserve">5  科研级可复现性审计</w:t>
      </w:r>
    </w:p>
    <w:p>
      <w:pPr>
        <w:spacing w:after="120" w:line="276"/>
      </w:pPr>
      <w:r>
        <w:t xml:space="preserve">我们对自身结果执行主动审计并披露全部局限。</w:t>
      </w:r>
    </w:p>
    <w:p>
      <w:pPr>
        <w:spacing w:after="100"/>
      </w:pPr>
      <w:r>
        <w:rPr>
          <w:b/>
          <w:bCs/>
        </w:rPr>
        <w:t xml:space="preserve">数据泄漏：</w:t>
      </w:r>
      <w:r>
        <w:t xml:space="preserve">6 个数据集的预定义划分均存在不同程度的训练-测试泄漏——GSHt 的 Murcko scaffold 重合高达 89%，BBBP 有 21 个完全重复的 SMILES，意味着部分报告性能来自训练-测试相似性而非真实泛化。</w:t>
      </w:r>
    </w:p>
    <w:p>
      <w:pPr>
        <w:spacing w:after="100"/>
      </w:pPr>
      <w:r>
        <w:rPr>
          <w:b/>
          <w:bCs/>
        </w:rPr>
        <w:t xml:space="preserve">阴性对照：</w:t>
      </w:r>
      <w:r>
        <w:t xml:space="preserve">将训练标签随机置换后重训，5/6 数据集通过（回归 Pearson R ≈ 0）；但 BBBP 因类别不均衡，置换标签 ROC-AUC 仍达 0.558（而非 0.5），GSHt 的置换 Pearson R 范围 [−0.33, +0.20]——因此 ChemFM-3B 在 GSHt 上 0.327 的相关性落在噪声区间内，不构成真实信号。</w:t>
      </w:r>
    </w:p>
    <w:p>
      <w:pPr>
        <w:pStyle w:val="Heading1"/>
        <w:spacing w:after="140" w:before="240"/>
      </w:pPr>
      <w:r>
        <w:t xml:space="preserve">6  方法学探索：基础模型的 Conformal 预测可信度</w:t>
      </w:r>
    </w:p>
    <w:p>
      <w:pPr>
        <w:spacing w:after="120" w:line="276"/>
      </w:pPr>
      <w:r>
        <w:t xml:space="preserve">点预测基准回答了“哪个骨架更准”，却没回答“何时可以相信它”。Conformal prediction 提供分布无关、有限样本的覆盖率保证，使我们能问一个更实用的问题：哪个骨架在保持有效覆盖（经验覆盖率 ≥ 名义 90%）的前提下给出最紧的预测区间？这是本报告的方法学主线。</w:t>
      </w:r>
    </w:p>
    <w:p>
      <w:pPr>
        <w:spacing w:after="100"/>
      </w:pPr>
      <w:r>
        <w:rPr>
          <w:b/>
          <w:bCs/>
        </w:rPr>
        <w:t xml:space="preserve">诚实定位：</w:t>
      </w:r>
      <w:r>
        <w:t xml:space="preserve">“conformal 覆盖随化学相似度下降而退化”、“神经模型过度自信”这两个现象，在 conformal-QSAR 与不确定性文献中均已充分报道（Norinder 2014；MUBen TMLR 2024；CoDrug NeurIPS 2023；Hosni ACS Omega 2026 等）。本节并非声称发现这些现象，而是在统一协议下首次对现代基础模型（MolFormer-XL / Uni-Mol-3D / ChemFM-3B / RF-Morgan / Chemprop）做横向 conformal 比较，并量化“最紧 ≠ 有效”的代价。</w:t>
      </w:r>
    </w:p>
    <w:p>
      <w:pPr>
        <w:pStyle w:val="Heading2"/>
        <w:spacing w:after="100" w:before="160"/>
      </w:pPr>
      <w:r>
        <w:t xml:space="preserve">6.1  覆盖率总览</w:t>
      </w:r>
    </w:p>
    <w:p>
      <w:pPr>
        <w:spacing w:after="120" w:line="276"/>
      </w:pPr>
      <w:r>
        <w:t xml:space="preserve">图 5 是 5 骨架 × 5 回归任务在 90% 名义覆盖下的经验覆盖率热图。多数格点接近 0.90（标定良好），但 Uni-Mol 在 ESOL（0.83）与 Lipophilicity（0.87）两格明显欠覆盖（红色），GSHt 行整体过覆盖（蓝色，≈0.98–1.00）。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933700"/>
            <wp:effectExtent t="0" r="0" b="0" l="0"/>
            <wp:docPr id="1" name="fig_coverage_heatmap.png" descr="图 5  各骨架 × 数据集的经验覆盖率（名义 0.90；红 = 欠覆盖、蓝 = 过覆盖）" title="图 5  各骨架 × 数据集的经验覆盖率（名义 0.90；红 = 欠覆盖、蓝 = 过覆盖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5  各骨架 × 数据集的经验覆盖率（名义 0.90；红 = 欠覆盖、蓝 = 过覆盖）</w:t>
      </w:r>
    </w:p>
    <w:p>
      <w:pPr>
        <w:pStyle w:val="Heading2"/>
        <w:spacing w:after="100" w:before="160"/>
      </w:pPr>
      <w:r>
        <w:t xml:space="preserve">6.2  最紧 ≠ 有效</w:t>
      </w:r>
    </w:p>
    <w:p>
      <w:pPr>
        <w:spacing w:after="120" w:line="276"/>
      </w:pPr>
      <w:r>
        <w:t xml:space="preserve">将区间宽度与覆盖率并置（图 6）可见：Uni-Mol 在多数任务上给出最窄区间，但其 ESOL 区间虽最紧、覆盖率却跌进阴影“欠覆盖”区——窄而不可信。图 7 的宽度排行榜对此以斜纹标注：覆盖率未达标的骨架，其“最紧”不计入有效排名。在覆盖有效的任务上，Uni-Mol 与 Chemprop 通常给出最紧的合法区间。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fig_tradeoff_width_coverage.png" descr="图 6  宽度 vs 覆盖率（每个分面一个数据集；阴影 = 欠覆盖 90% 名义）" title="图 6  宽度 vs 覆盖率（每个分面一个数据集；阴影 = 欠覆盖 90% 名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6  宽度 vs 覆盖率（每个分面一个数据集；阴影 = 欠覆盖 90% 名义）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590800"/>
            <wp:effectExtent t="0" r="0" b="0" l="0"/>
            <wp:docPr id="1" name="fig_width_leaderboard.png" descr="图 7  区间宽度排行榜（斜纹 = 覆盖率未达标，宽度不可比）" title="图 7  区间宽度排行榜（斜纹 = 覆盖率未达标，宽度不可比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7  区间宽度排行榜（斜纹 = 覆盖率未达标，宽度不可比）</w:t>
      </w:r>
    </w:p>
    <w:p>
      <w:pPr>
        <w:pStyle w:val="Heading2"/>
        <w:spacing w:after="100" w:before="160"/>
      </w:pPr>
      <w:r>
        <w:t xml:space="preserve">6.3  条件覆盖：边际达标掩盖了 OOD 失效</w:t>
      </w:r>
    </w:p>
    <w:p>
      <w:pPr>
        <w:spacing w:after="120" w:line="276"/>
      </w:pPr>
      <w:r>
        <w:t xml:space="preserve">边际覆盖达标不代表处处可信。按 applicability domain（测试分子到最近训练分子的 Tanimoto 相似度）分层后（图 8），所有骨架在低相似度（新化学，T≈0.46）子群系统性欠覆盖、在高相似度子群过覆盖——二者相互抵消，使边际覆盖“看起来”达标。这对真实虚拟筛选（常需外推到新骨架）是直接的可信度警示，也是本节相对边际指标的增量。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228975"/>
            <wp:effectExtent t="0" r="0" b="0" l="0"/>
            <wp:docPr id="1" name="fig_ad_conditional_coverage.png" descr="图 8  按 applicability domain 分层的条件覆盖率：低相似度子群全骨架欠覆盖" title="图 8  按 applicability domain 分层的条件覆盖率：低相似度子群全骨架欠覆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8  按 applicability domain 分层的条件覆盖率：低相似度子群全骨架欠覆盖</w:t>
      </w:r>
    </w:p>
    <w:p>
      <w:pPr>
        <w:pStyle w:val="Heading2"/>
        <w:spacing w:after="100" w:before="160"/>
      </w:pPr>
      <w:r>
        <w:t xml:space="preserve">6.4  自适应区间：CQR 能否补回欠覆盖？</w:t>
      </w:r>
    </w:p>
    <w:p>
      <w:pPr>
        <w:spacing w:after="120" w:line="276"/>
      </w:pPr>
      <w:r>
        <w:t xml:space="preserve">固定宽度的 split conformal 无法刻画异方差误差。我们进一步为每个骨架训练分位回归头（pinball 损失预测 5%/95% 分位），再用 Conformalized Quantile Regression（CQR；Romano et al. 2019）做有限样本校正，得到自适应宽度区间。结果（图 9）呈骨架依赖：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Uni-Mol：在其欠覆盖的 ESOL 上，CQR 把覆盖率从 0.83 修复到 0.90（自适应加宽）；在过覆盖的 GSHt 上反而收紧区间——CQR 对这个三维、异方差骨架最有价值。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经典 / 图网络（GBM、Chemprop）：小数据上分位头噪声大，CQR 区间普遍变宽、并不优于固定宽度——“自适应”在样本不足时未必划算。</w:t>
      </w:r>
    </w:p>
    <w:p>
      <w:pPr>
        <w:spacing w:after="120" w:line="276"/>
      </w:pPr>
      <w:r>
        <w:t xml:space="preserve">即 CQR 的价值取决于骨架与误差结构，而非普适改进。这是一个诚实的负-正混合结论，而非“CQR 全面更优”的夸大。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876550"/>
            <wp:effectExtent t="0" r="0" b="0" l="0"/>
            <wp:docPr id="1" name="fig_split_vs_cqr_scatter.png" descr="图 9  split conformal → CQR：左为覆盖率（对角线上方 = CQR 改善，Uni-Mol/ESOL 越过 0.90），右为宽度（对角线下方 = CQR 更紧）" title="图 9  split conformal → CQR：左为覆盖率（对角线上方 = CQR 改善，Uni-Mol/ESOL 越过 0.90），右为宽度（对角线下方 = CQR 更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9  split conformal → CQR：左为覆盖率（对角线上方 = CQR 改善，Uni-Mol/ESOL 越过 0.90），右为宽度（对角线下方 = CQR 更紧）</w:t>
      </w:r>
    </w:p>
    <w:p>
      <w:pPr>
        <w:pStyle w:val="Heading2"/>
        <w:spacing w:after="100" w:before="160"/>
      </w:pPr>
      <w:r>
        <w:t xml:space="preserve">6.5  分类校准：温度缩放</w:t>
      </w:r>
    </w:p>
    <w:p>
      <w:pPr>
        <w:spacing w:after="120" w:line="276"/>
      </w:pPr>
      <w:r>
        <w:t xml:space="preserve">对分类，可信度对应概率校准。BBBP 上的 Morgan-MLP 高度过度自信（约 93% 的预测把置信度堆在 ≈1.0、却仅 87% 正确）。单参数温度缩放（T≈5.0）将期望校准误差 ECE 从 0.130 降到 0.070（−46%），如图 10 中主簇（标记面积 ∝ 样本数）向对角线移动所示。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857625"/>
            <wp:effectExtent t="0" r="0" b="0" l="0"/>
            <wp:docPr id="1" name="fig_bbbp_calibration.png" descr="图 10  BBBP 可靠性图（温度缩放前后；标记面积 ∝ 该置信度区间样本数；ECE 降低 46%）" title="图 10  BBBP 可靠性图（温度缩放前后；标记面积 ∝ 该置信度区间样本数；ECE 降低 46%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10  BBBP 可靠性图（温度缩放前后；标记面积 ∝ 该置信度区间样本数；ECE 降低 46%）</w:t>
      </w:r>
    </w:p>
    <w:p>
      <w:pPr>
        <w:pStyle w:val="Heading1"/>
        <w:spacing w:after="140" w:before="240"/>
      </w:pPr>
      <w:r>
        <w:t xml:space="preserve">7  讨论</w:t>
      </w:r>
    </w:p>
    <w:p>
      <w:pPr>
        <w:spacing w:after="120" w:line="276"/>
      </w:pPr>
      <w:r>
        <w:t xml:space="preserve">模型选型启示：(1) 对小型理化/活性数据集，图网络与三维表征优势明显，但传统 RF + 指纹仍是极强的性价比基线；(2) 大语言模型（ChemFM-3B）的默认 LoRA 配置在小数据集上失效，提示实用部署需谨慎调参；(3) 物理对接对活性的预测能力弱于纯数据驱动的机器学习排序。</w:t>
      </w:r>
    </w:p>
    <w:p>
      <w:pPr>
        <w:spacing w:after="120" w:line="276"/>
      </w:pPr>
      <w:r>
        <w:t xml:space="preserve">可信度的实用启示：最准的骨架未必最可信——Uni-Mol 点预测最强、conformal 区间最紧，却在 ESOL / Lipophilicity 欠覆盖；自适应 CQR 能修复特定骨架的欠覆盖却非普适；所有骨架在低相似度子群条件欠覆盖。因此实际部署应同时报告区间宽度、条件覆盖与校准，而非仅看点预测精度——这是本报告方法学主线的核心结论。</w:t>
      </w:r>
    </w:p>
    <w:p>
      <w:pPr>
        <w:spacing w:after="120" w:line="276"/>
      </w:pPr>
      <w:r>
        <w:t xml:space="preserve">严谨性的价值：本报告的阴性对照与泄漏检查“拆穿”了若干表面良好的数字（ChemFM-GSHt、BBBP 基线），避免把噪声当信号、把泄漏当泛化——这正是其核心价值。</w:t>
      </w:r>
    </w:p>
    <w:p>
      <w:pPr>
        <w:spacing w:after="100"/>
      </w:pPr>
      <w:r>
        <w:rPr>
          <w:b/>
          <w:bCs/>
        </w:rPr>
        <w:t xml:space="preserve">局限：</w:t>
      </w:r>
      <w:r>
        <w:t xml:space="preserve">(1) 主基准（点预测）数字基于验证集，测试集仅在 conformal 一次性最终评估中使用；(2) 对接样本 n=30 统计力有限，r=−0.34 未达显著；(3) 点预测基准中的 Uni-Mol 经 unimol-tools 训练、库内随机种子固定，实为单次测量——但 §6.4 的 Uni-Mol CQR 由自建训练循环驱动，已实现真正的 3 seed 变异（覆盖率标准差 0.001–0.018）；(4) 活性悬崖分析基于外部 MoleculeACE 数据，仅作确认性结论。</w:t>
      </w:r>
    </w:p>
    <w:p>
      <w:pPr>
        <w:pStyle w:val="Heading1"/>
        <w:spacing w:after="140" w:before="240"/>
      </w:pPr>
      <w:r>
        <w:t xml:space="preserve">8  结论</w:t>
      </w:r>
    </w:p>
    <w:p>
      <w:pPr>
        <w:spacing w:after="120" w:line="276"/>
      </w:pPr>
      <w:r>
        <w:t xml:space="preserve">本报告构建了一个完整、严谨、可复现的 ADMET 预测与结构对接 pipeline，覆盖课程的两种建模策略与全部数据集。核心结论：没有单一最优骨架——图网络（策略二）与三维模型长于回归，序列 Transformer 稳于分类，传统 RF 是极强基线，大模型 LoRA 在小数据上需谨慎；物理对接弱于机器学习排序；现有 benchmark 划分普遍存在数据泄漏。在方法学上，我们给出跨基础模型的统一 conformal 可信度评估：量化“最紧 ≠ 有效”、揭示条件覆盖的 OOD 失效、并以 CQR 检验自适应区间能否补回欠覆盖（结论为骨架依赖）。贯穿全文的方法论基石，是对自身结果的彻底审计与诚实披露。</w:t>
      </w:r>
    </w:p>
    <w:p>
      <w:pPr>
        <w:pStyle w:val="Heading1"/>
        <w:spacing w:after="140" w:before="240"/>
      </w:pPr>
      <w:r>
        <w:t xml:space="preserve">参考文献</w:t>
      </w:r>
    </w:p>
    <w:p>
      <w:pPr>
        <w:spacing w:after="60"/>
      </w:pPr>
      <w:r>
        <w:t xml:space="preserve">[1]  Wu Z, et al. MoleculeNet: A Benchmark for Molecular Machine Learning. Chem Sci, 2018.</w:t>
      </w:r>
    </w:p>
    <w:p>
      <w:pPr>
        <w:spacing w:after="60"/>
      </w:pPr>
      <w:r>
        <w:t xml:space="preserve">[2]  Ross J, et al. Large-scale chemical language representations (MolFormer). Nat Mach Intell, 2022.</w:t>
      </w:r>
    </w:p>
    <w:p>
      <w:pPr>
        <w:spacing w:after="60"/>
      </w:pPr>
      <w:r>
        <w:t xml:space="preserve">[3]  Zhou G, et al. Uni-Mol: A Universal 3D Molecular Representation Learning Framework. ICLR, 2023.</w:t>
      </w:r>
    </w:p>
    <w:p>
      <w:pPr>
        <w:spacing w:after="60"/>
      </w:pPr>
      <w:r>
        <w:t xml:space="preserve">[4]  Heid E, et al. Chemprop: Machine Learning Package for Molecular Property Prediction (v2). JCIM, 2025.</w:t>
      </w:r>
    </w:p>
    <w:p>
      <w:pPr>
        <w:spacing w:after="60"/>
      </w:pPr>
      <w:r>
        <w:t xml:space="preserve">[5]  Cai F, et al. ChemFM: A Foundation Model for Chemistry. 2024.</w:t>
      </w:r>
    </w:p>
    <w:p>
      <w:pPr>
        <w:spacing w:after="60"/>
      </w:pPr>
      <w:r>
        <w:t xml:space="preserve">[6]  Daina A, et al. SwissADME. Sci Rep, 2017.</w:t>
      </w:r>
    </w:p>
    <w:p>
      <w:pPr>
        <w:spacing w:after="60"/>
      </w:pPr>
      <w:r>
        <w:t xml:space="preserve">[7]  Trott O, Olson AJ. AutoDock Vina. J Comput Chem, 2010.</w:t>
      </w:r>
    </w:p>
    <w:p>
      <w:pPr>
        <w:spacing w:after="60"/>
      </w:pPr>
      <w:r>
        <w:t xml:space="preserve">[8]  Vovk V, et al. Algorithmic Learning in a Random World (conformal prediction). Springer, 2005.</w:t>
      </w:r>
    </w:p>
    <w:p>
      <w:pPr>
        <w:spacing w:after="60"/>
      </w:pPr>
      <w:r>
        <w:t xml:space="preserve">[9]  Li Y, et al. MUBen: Benchmarking the Uncertainty of Molecular Representation Models. TMLR, 2024.</w:t>
      </w:r>
    </w:p>
    <w:p>
      <w:pPr>
        <w:spacing w:after="60"/>
      </w:pPr>
      <w:r>
        <w:t xml:space="preserve">[10]  Norinder U, et al. Conformal Prediction to Define Applicability Domain. JCIM, 2014.</w:t>
      </w:r>
    </w:p>
    <w:p>
      <w:pPr>
        <w:spacing w:after="60"/>
      </w:pPr>
      <w:r>
        <w:t xml:space="preserve">[11]  Romano Y, Patterson E, Candès EJ. Conformalized Quantile Regression. NeurIPS, 2019.</w:t>
      </w:r>
    </w:p>
    <w:p>
      <w:pPr>
        <w:spacing w:after="60"/>
      </w:pPr>
      <w:r>
        <w:t xml:space="preserve">[12]  Guo C, et al. On Calibration of Modern Neural Networks. ICML, 2017.</w:t>
      </w:r>
    </w:p>
    <w:p>
      <w:pPr>
        <w:spacing w:after="60"/>
      </w:pPr>
      <w:r>
        <w:t xml:space="preserve">[13]  Joeres R, et al. DataSAIL: data splitting against information leakage. Nat Commun, 2025.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ngti SC" w:cs="Songti SC" w:eastAsia="Songti SC" w:hAnsi="Songti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STHeiti" w:cs="STHeiti" w:eastAsia="STHeiti" w:hAnsi="STHeit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STHeiti" w:cs="STHeiti" w:eastAsia="STHeiti" w:hAnsi="STHeit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dd9ef8dd16d9ae24da4ad8b777356aeaf15f890.png"/><Relationship Id="rId9" Type="http://schemas.openxmlformats.org/officeDocument/2006/relationships/image" Target="media/a940049ccf2d6e5a3bc0982b1a142c7f79ab478b.png"/><Relationship Id="rId10" Type="http://schemas.openxmlformats.org/officeDocument/2006/relationships/image" Target="media/9d81a3995a3dee778d18a0798ff287f2b992498a.png"/><Relationship Id="rId11" Type="http://schemas.openxmlformats.org/officeDocument/2006/relationships/image" Target="media/91affe0103db2644dcb10af8e937e72189ffabd2.png"/><Relationship Id="rId12" Type="http://schemas.openxmlformats.org/officeDocument/2006/relationships/image" Target="media/1698bdb69e34a0c3ed455fad35cb603880d8efe6.png"/><Relationship Id="rId13" Type="http://schemas.openxmlformats.org/officeDocument/2006/relationships/image" Target="media/f0a6a97ed2776b8a96c4e52e681e7cb3616670bb.png"/><Relationship Id="rId14" Type="http://schemas.openxmlformats.org/officeDocument/2006/relationships/image" Target="media/f546eccd97981364542ccbe1162fca996ae4cbdf.png"/><Relationship Id="rId15" Type="http://schemas.openxmlformats.org/officeDocument/2006/relationships/image" Target="media/0b97855ebb345353f51ac0e5d7f4c277830f2899.png"/><Relationship Id="rId16" Type="http://schemas.openxmlformats.org/officeDocument/2006/relationships/image" Target="media/7a7a0e233b9080ac9ea5fc239b0f4388ae7946b8.png"/><Relationship Id="rId17" Type="http://schemas.openxmlformats.org/officeDocument/2006/relationships/image" Target="media/e7d27b4cd8c9b45e78a6b6b6b75af61c9d1569a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2026-06-02T10:24:35.318Z</dcterms:created>
  <dcterms:modified xsi:type="dcterms:W3CDTF">2026-06-02T10:24:35.319Z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