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52"/>
      </w:pPr>
      <w:r>
        <w:rPr>
          <w:rFonts w:ascii="Consolas" w:cs="Consolas" w:eastAsia="Consolas" w:hAnsi="Consolas"/>
          <w:b/>
          <w:bCs/>
          <w:caps/>
          <w:color w:val="5C6862"/>
          <w:spacing w:val="26"/>
          <w:sz w:val="14"/>
          <w:szCs w:val="14"/>
        </w:rPr>
        <w:t xml:space="preserve">Bethany Cochrane &amp; Big Hill Lodge campus of care  ·  Summary of findings</w:t>
      </w:r>
    </w:p>
    <w:p>
      <w:pPr>
        <w:spacing w:after="100" w:before="0" w:line="252"/>
      </w:pPr>
      <w:r>
        <w:rPr>
          <w:rFonts w:ascii="Georgia" w:cs="Georgia" w:eastAsia="Georgia" w:hAnsi="Georgia"/>
          <w:b/>
          <w:bCs/>
          <w:color w:val="15201C"/>
          <w:sz w:val="40"/>
          <w:szCs w:val="40"/>
        </w:rPr>
        <w:t xml:space="preserve">Cochrane Demand and Capacity</w:t>
      </w:r>
    </w:p>
    <w:p>
      <w:pPr>
        <w:spacing w:after="160" w:before="0" w:line="252"/>
      </w:pPr>
      <w:r>
        <w:rPr>
          <w:rFonts w:ascii="Georgia" w:cs="Georgia" w:eastAsia="Georgia" w:hAnsi="Georgia"/>
          <w:color w:val="3A4844"/>
          <w:sz w:val="21"/>
          <w:szCs w:val="21"/>
        </w:rPr>
        <w:t xml:space="preserve">Seven in ten Town of Cochrane residents entering continuing care are placed outside the town. Most beds inside Cochrane’s own facilities go to people who are not Cochrane residents.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520"/>
        <w:gridCol w:w="3240"/>
        <w:gridCol w:w="2040"/>
      </w:tblGrid>
      <w:tr>
        <w:tc>
          <w:tcPr>
            <w:tcW w:type="dxa" w:w="22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SCOPE</w:t>
            </w:r>
          </w:p>
        </w:tc>
        <w:tc>
          <w:tcPr>
            <w:tcW w:type="dxa" w:w="324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POPULATION</w:t>
            </w:r>
          </w:p>
        </w:tc>
        <w:tc>
          <w:tcPr>
            <w:tcW w:type="dxa" w:w="204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22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FY2022–FY2026</w:t>
            </w:r>
          </w:p>
        </w:tc>
        <w:tc>
          <w:tcPr>
            <w:tcW w:type="dxa" w:w="252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Type A &amp; Type B (level 4)</w:t>
            </w:r>
          </w:p>
        </w:tc>
        <w:tc>
          <w:tcPr>
            <w:tcW w:type="dxa" w:w="324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317 Town residents · 344 admissions</w:t>
            </w:r>
          </w:p>
        </w:tc>
        <w:tc>
          <w:tcPr>
            <w:tcW w:type="dxa" w:w="204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Validated</w:t>
            </w:r>
          </w:p>
        </w:tc>
      </w:tr>
    </w:tbl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Cohorts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80"/>
        <w:gridCol w:w="420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Cohort</w:t>
            </w:r>
          </w:p>
        </w:tc>
        <w:tc>
          <w:tcPr>
            <w:tcW w:type="dxa" w:w="31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Definition</w:t>
            </w:r>
          </w:p>
        </w:tc>
        <w:tc>
          <w:tcPr>
            <w:tcW w:type="dxa" w:w="42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Question it answers</w:t>
            </w:r>
          </w:p>
        </w:tc>
        <w:tc>
          <w:tcPr>
            <w:tcW w:type="dxa" w:w="18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People</w:t>
            </w:r>
          </w:p>
        </w:tc>
      </w:tr>
      <w:tr>
        <w:tc>
          <w:tcPr>
            <w:tcW w:type="dxa" w:w="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58C72"/>
                <w:sz w:val="18"/>
                <w:szCs w:val="18"/>
              </w:rPr>
              <w:t xml:space="preserve">A</w:t>
            </w:r>
          </w:p>
        </w:tc>
        <w:tc>
          <w:tcPr>
            <w:tcW w:type="dxa" w:w="31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Cochrane resident placed in a Cochrane facility</w:t>
            </w:r>
          </w:p>
        </w:tc>
        <w:tc>
          <w:tcPr>
            <w:tcW w:type="dxa" w:w="42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How much local demand did local capacity absorb?</w:t>
            </w:r>
          </w:p>
        </w:tc>
        <w:tc>
          <w:tcPr>
            <w:tcW w:type="dxa" w:w="18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97</w:t>
            </w:r>
          </w:p>
        </w:tc>
      </w:tr>
      <w:tr>
        <w:tc>
          <w:tcPr>
            <w:tcW w:type="dxa" w:w="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4671A"/>
                <w:sz w:val="18"/>
                <w:szCs w:val="18"/>
              </w:rPr>
              <w:t xml:space="preserve">C</w:t>
            </w:r>
          </w:p>
        </w:tc>
        <w:tc>
          <w:tcPr>
            <w:tcW w:type="dxa" w:w="31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Cochrane resident placed outside Cochrane</w:t>
            </w:r>
          </w:p>
        </w:tc>
        <w:tc>
          <w:tcPr>
            <w:tcW w:type="dxa" w:w="42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How much local demand had to leave town?</w:t>
            </w:r>
          </w:p>
        </w:tc>
        <w:tc>
          <w:tcPr>
            <w:tcW w:type="dxa" w:w="18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A4844"/>
                <w:sz w:val="18"/>
                <w:szCs w:val="18"/>
              </w:rPr>
              <w:t xml:space="preserve">B</w:t>
            </w:r>
          </w:p>
        </w:tc>
        <w:tc>
          <w:tcPr>
            <w:tcW w:type="dxa" w:w="31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Non-resident placed in a Cochrane facility</w:t>
            </w:r>
          </w:p>
        </w:tc>
        <w:tc>
          <w:tcPr>
            <w:tcW w:type="dxa" w:w="42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How much of local capacity serves outside demand?</w:t>
            </w:r>
          </w:p>
        </w:tc>
        <w:tc>
          <w:tcPr>
            <w:tcW w:type="dxa" w:w="18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189</w:t>
            </w:r>
          </w:p>
        </w:tc>
      </w:tr>
    </w:tbl>
    <w:p>
      <w:pPr>
        <w:spacing w:after="140" w:before="100" w:line="246"/>
      </w:pPr>
      <w:r>
        <w:rPr>
          <w:rFonts w:ascii="Calibri" w:cs="Calibri" w:eastAsia="Calibri" w:hAnsi="Calibri"/>
          <w:color w:val="5C6862"/>
          <w:sz w:val="17"/>
          <w:szCs w:val="17"/>
        </w:rPr>
        <w:t xml:space="preserve">A + C = total Town demand  ·  A + B = total use of Cochrane capacity  ·  C ÷ (A+C) = share that left town. Demand is counted per person on first-ever placement; capacity per admission, because each occupies a bed.</w:t>
      </w:r>
    </w:p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Finding 01 · Local demand and where it went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500"/>
        <w:gridCol w:w="1900"/>
        <w:gridCol w:w="1600"/>
        <w:gridCol w:w="1600"/>
      </w:tblGrid>
      <w:tr>
        <w:trPr>
          <w:tblHeader/>
        </w:trP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Care type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Residents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Placed in Cochrane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Placed outside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% outside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Type A — long-term care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165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140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84.8%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Type B — supportive living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152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72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80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52.6%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All care types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317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97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220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69.4%</w:t>
            </w:r>
          </w:p>
        </w:tc>
      </w:tr>
    </w:tbl>
    <w:p>
      <w:pPr>
        <w:spacing w:after="140" w:before="100" w:line="246"/>
      </w:pPr>
      <w:r>
        <w:rPr>
          <w:rFonts w:ascii="Calibri" w:cs="Calibri" w:eastAsia="Calibri" w:hAnsi="Calibri"/>
          <w:color w:val="5C6862"/>
          <w:sz w:val="17"/>
          <w:szCs w:val="17"/>
        </w:rPr>
        <w:t xml:space="preserve">Where local capacity exists at the right care level, about half of local demand is met locally. Where it does not, almost none is — Bethany Cochrane absorbed 25 of the 165 residents needing long-term care.</w:t>
      </w:r>
    </w:p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Finding 01b · Trend by fiscal year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500"/>
        <w:gridCol w:w="1900"/>
        <w:gridCol w:w="1600"/>
        <w:gridCol w:w="1600"/>
      </w:tblGrid>
      <w:tr>
        <w:trPr>
          <w:tblHeader/>
        </w:trP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Fiscal year (ending 31 Mar)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Residents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Placed in Cochrane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Placed outside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% outside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FY 2022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058C72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4671A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65.5%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FY 2023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56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058C72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4671A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64.3%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FY 2024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70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058C72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4671A"/>
                <w:sz w:val="18"/>
                <w:szCs w:val="18"/>
              </w:rPr>
              <w:t xml:space="preserve">47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67.1%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FY 2025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68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058C72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4671A"/>
                <w:sz w:val="18"/>
                <w:szCs w:val="18"/>
              </w:rPr>
              <w:t xml:space="preserve">53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77.9%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FY 2026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68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058C72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C4671A"/>
                <w:sz w:val="18"/>
                <w:szCs w:val="18"/>
              </w:rPr>
              <w:t xml:space="preserve">48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70.6%</w:t>
            </w:r>
          </w:p>
        </w:tc>
      </w:tr>
      <w:tr>
        <w:tc>
          <w:tcPr>
            <w:tcW w:type="dxa" w:w="34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Five-year total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317</w:t>
            </w:r>
          </w:p>
        </w:tc>
        <w:tc>
          <w:tcPr>
            <w:tcW w:type="dxa" w:w="19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97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220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69.4%</w:t>
            </w:r>
          </w:p>
        </w:tc>
      </w:tr>
    </w:tbl>
    <w:p>
      <w:pPr>
        <w:spacing w:after="140" w:before="100" w:line="246"/>
      </w:pPr>
      <w:r>
        <w:rPr>
          <w:rFonts w:ascii="Calibri" w:cs="Calibri" w:eastAsia="Calibri" w:hAnsi="Calibri"/>
          <w:color w:val="5C6862"/>
          <w:sz w:val="17"/>
          <w:szCs w:val="17"/>
        </w:rPr>
        <w:t xml:space="preserve">Between 64% and 78% every year. FY2025 is the weakest but stands alone — the defensible description is a persistent two-thirds to three-quarters, not a deteriorating trend. Annual volume rose from 55 to 68 as the town grew.</w:t>
      </w:r>
    </w:p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Finding 02 · Who occupies Cochrane’s beds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1700"/>
        <w:gridCol w:w="1600"/>
        <w:gridCol w:w="1700"/>
      </w:tblGrid>
      <w:tr>
        <w:trPr>
          <w:tblHeader/>
        </w:trP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Residence at entry to care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Admissions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People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Share</w:t>
            </w:r>
          </w:p>
        </w:tc>
      </w:tr>
      <w:t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Town of Cochrane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140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133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40.7%</w:t>
            </w:r>
          </w:p>
        </w:tc>
      </w:tr>
      <w:t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Cochrane catchment (Springbank, rural Rocky View)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Not a Cochrane-area resident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197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189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57.3%</w:t>
            </w:r>
          </w:p>
        </w:tc>
      </w:tr>
      <w:t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All admissions into Cochrane facilities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344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40" w:before="100" w:line="246"/>
      </w:pPr>
      <w:r>
        <w:rPr>
          <w:rFonts w:ascii="Calibri" w:cs="Calibri" w:eastAsia="Calibri" w:hAnsi="Calibri"/>
          <w:color w:val="5C6862"/>
          <w:sz w:val="17"/>
          <w:szCs w:val="17"/>
        </w:rPr>
        <w:t xml:space="preserve">Shares are of all 344 admissions. One further admission has unresolved residence and is not attributed to a group.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58C72" w:sz="18"/>
              <w:bottom w:val="none" w:color="FFFFFF" w:sz="0"/>
              <w:right w:val="none" w:color="FFFFFF" w:sz="0"/>
            </w:tcBorders>
            <w:shd w:fill="E9F3F0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aps/>
                <w:color w:val="058C72"/>
                <w:spacing w:val="26"/>
                <w:sz w:val="14"/>
                <w:szCs w:val="14"/>
              </w:rPr>
              <w:t xml:space="preserve">Both true at once</w:t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color w:val="15201C"/>
                <w:sz w:val="19"/>
                <w:szCs w:val="19"/>
              </w:rPr>
              <w:t xml:space="preserve">Two-thirds of the town’s residents are placed elsewhere, while nearly three-fifths of the town’s beds are filled by people from elsewhere. Each finding strengthens the other, and they come from independent measures.</w:t>
            </w:r>
          </w:p>
        </w:tc>
      </w:tr>
    </w:tbl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Finding 03 · The hospital pathway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600"/>
        <w:gridCol w:w="2100"/>
        <w:gridCol w:w="1700"/>
      </w:tblGrid>
      <w:tr>
        <w:trPr>
          <w:tblHeader/>
        </w:trPr>
        <w:tc>
          <w:tcPr>
            <w:tcW w:type="dxa" w:w="46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Setting the resident entered care from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People</w:t>
            </w:r>
          </w:p>
        </w:tc>
        <w:tc>
          <w:tcPr>
            <w:tcW w:type="dxa" w:w="21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Placed in Cochrane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% local</w:t>
            </w:r>
          </w:p>
        </w:tc>
      </w:tr>
      <w:tr>
        <w:tc>
          <w:tcPr>
            <w:tcW w:type="dxa" w:w="46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Own home / community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93</w:t>
            </w:r>
          </w:p>
        </w:tc>
        <w:tc>
          <w:tcPr>
            <w:tcW w:type="dxa" w:w="21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52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55.9%</w:t>
            </w:r>
          </w:p>
        </w:tc>
      </w:tr>
      <w:tr>
        <w:tc>
          <w:tcPr>
            <w:tcW w:type="dxa" w:w="46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Lodge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24</w:t>
            </w:r>
          </w:p>
        </w:tc>
        <w:tc>
          <w:tcPr>
            <w:tcW w:type="dxa" w:w="21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54.2%</w:t>
            </w:r>
          </w:p>
        </w:tc>
      </w:tr>
      <w:tr>
        <w:tc>
          <w:tcPr>
            <w:tcW w:type="dxa" w:w="46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Other / unclear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22</w:t>
            </w:r>
          </w:p>
        </w:tc>
        <w:tc>
          <w:tcPr>
            <w:tcW w:type="dxa" w:w="21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22.7%</w:t>
            </w:r>
          </w:p>
        </w:tc>
      </w:tr>
      <w:tr>
        <w:tc>
          <w:tcPr>
            <w:tcW w:type="dxa" w:w="46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Acute hospital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149</w:t>
            </w:r>
          </w:p>
        </w:tc>
        <w:tc>
          <w:tcPr>
            <w:tcW w:type="dxa" w:w="21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16.8%</w:t>
            </w:r>
          </w:p>
        </w:tc>
      </w:tr>
      <w:tr>
        <w:tc>
          <w:tcPr>
            <w:tcW w:type="dxa" w:w="46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Transition / rehab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8.3%</w:t>
            </w:r>
          </w:p>
        </w:tc>
      </w:tr>
      <w:tr>
        <w:tc>
          <w:tcPr>
            <w:tcW w:type="dxa" w:w="46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Supportive living</w:t>
            </w:r>
          </w:p>
        </w:tc>
        <w:tc>
          <w:tcPr>
            <w:tcW w:type="dxa" w:w="16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5.9%</w:t>
            </w:r>
          </w:p>
        </w:tc>
      </w:tr>
    </w:tbl>
    <w:p>
      <w:pPr>
        <w:spacing w:after="140" w:before="100" w:line="246"/>
      </w:pPr>
      <w:r>
        <w:rPr>
          <w:rFonts w:ascii="Calibri" w:cs="Calibri" w:eastAsia="Calibri" w:hAnsi="Calibri"/>
          <w:color w:val="5C6862"/>
          <w:sz w:val="17"/>
          <w:szCs w:val="17"/>
        </w:rPr>
        <w:t xml:space="preserve">Acute hospital is the largest single entry point — 149 of 317 residents, 47% — and the least likely to end in a local placement. A resident entering from home has roughly even odds of a Cochrane bed; from a hospital bed, about one in six. The constraint is not only bed count but the absence of local capacity able to absorb an urgent discharge.</w:t>
      </w:r>
    </w:p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Finding 04 · Time to placement, and whether Cochrane was requested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1500"/>
        <w:gridCol w:w="1750"/>
        <w:gridCol w:w="1750"/>
      </w:tblGrid>
      <w:tr>
        <w:trPr>
          <w:tblHeader/>
        </w:trP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Group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n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Median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p90</w:t>
            </w:r>
          </w:p>
        </w:tc>
      </w:tr>
      <w:t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Town → placed in Cochrane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97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32 d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335 d</w:t>
            </w:r>
          </w:p>
        </w:tc>
      </w:tr>
      <w:t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Town → placed outside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220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4671A"/>
                <w:sz w:val="18"/>
                <w:szCs w:val="18"/>
              </w:rPr>
              <w:t xml:space="preserve">18 d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190 d</w:t>
            </w:r>
          </w:p>
        </w:tc>
      </w:tr>
      <w:tr>
        <w:tc>
          <w:tcPr>
            <w:tcW w:type="dxa" w:w="50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Non-resident → in Cochrane</w:t>
            </w:r>
          </w:p>
        </w:tc>
        <w:tc>
          <w:tcPr>
            <w:tcW w:type="dxa" w:w="1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140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30 d</w:t>
            </w:r>
          </w:p>
        </w:tc>
        <w:tc>
          <w:tcPr>
            <w:tcW w:type="dxa" w:w="175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327 d</w:t>
            </w:r>
          </w:p>
        </w:tc>
      </w:tr>
    </w:tbl>
    <w:p>
      <w:pPr>
        <w:spacing w:after="140" w:before="100" w:line="246"/>
      </w:pPr>
      <w:r>
        <w:rPr>
          <w:rFonts w:ascii="Calibri" w:cs="Calibri" w:eastAsia="Calibri" w:hAnsi="Calibri"/>
          <w:color w:val="5C6862"/>
          <w:sz w:val="17"/>
          <w:szCs w:val="17"/>
        </w:rPr>
        <w:t xml:space="preserve">Residents placed outside waited less. That is the signature of accepting the first available bed, not of better service — and the 90th percentile shows the cost of holding out for a local one. New placements and facility transfers run on separate clocks and are never blended.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4671A" w:sz="18"/>
              <w:bottom w:val="none" w:color="FFFFFF" w:sz="0"/>
              <w:right w:val="none" w:color="FFFFFF" w:sz="0"/>
            </w:tcBorders>
            <w:shd w:fill="FBEFE4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aps/>
                <w:color w:val="C4671A"/>
                <w:spacing w:val="26"/>
                <w:sz w:val="14"/>
                <w:szCs w:val="14"/>
              </w:rPr>
              <w:t xml:space="preserve">Direct evidence of displacement</w:t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b/>
                <w:bCs/>
                <w:color w:val="15201C"/>
                <w:sz w:val="19"/>
                <w:szCs w:val="19"/>
              </w:rPr>
              <w:t xml:space="preserve">138 of the 220 residents placed outside Cochrane had formally requested a Cochrane site and were on that waitlist at or before the moment they were placed elsewhere.</w:t>
            </w:r>
            <w:r>
              <w:rPr>
                <w:rFonts w:ascii="Calibri" w:cs="Calibri" w:eastAsia="Calibri" w:hAnsi="Calibri"/>
                <w:color w:val="15201C"/>
                <w:sz w:val="19"/>
                <w:szCs w:val="19"/>
              </w:rPr>
              <w:t xml:space="preserve"> Median 70 days waiting; longest 1,358 days.</w:t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color w:val="15201C"/>
                <w:sz w:val="19"/>
                <w:szCs w:val="19"/>
              </w:rPr>
              <w:t xml:space="preserve">Verified: none joined the Cochrane list after their placement. Because the waitlist record starts 1 Apr 2021, 138 is a floor.</w:t>
            </w:r>
          </w:p>
        </w:tc>
      </w:tr>
    </w:tbl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How residence was determined</w:t>
      </w:r>
    </w:p>
    <w:p>
      <w:pPr>
        <w:spacing w:after="120" w:before="0" w:line="252"/>
      </w:pPr>
      <w:r>
        <w:rPr>
          <w:rFonts w:ascii="Calibri" w:cs="Calibri" w:eastAsia="Calibri" w:hAnsi="Calibri"/>
          <w:color w:val="15201C"/>
          <w:sz w:val="20"/>
          <w:szCs w:val="20"/>
        </w:rPr>
        <w:t xml:space="preserve">Placement records show where people were </w:t>
      </w:r>
      <w:r>
        <w:rPr>
          <w:rFonts w:ascii="Calibri" w:cs="Calibri" w:eastAsia="Calibri" w:hAnsi="Calibri"/>
          <w:i/>
          <w:iCs/>
          <w:color w:val="15201C"/>
          <w:sz w:val="20"/>
          <w:szCs w:val="20"/>
        </w:rPr>
        <w:t xml:space="preserve">admitted</w:t>
      </w:r>
      <w:r>
        <w:rPr>
          <w:rFonts w:ascii="Calibri" w:cs="Calibri" w:eastAsia="Calibri" w:hAnsi="Calibri"/>
          <w:color w:val="15201C"/>
          <w:sz w:val="20"/>
          <w:szCs w:val="20"/>
        </w:rPr>
        <w:t xml:space="preserve">, not where they </w:t>
      </w:r>
      <w:r>
        <w:rPr>
          <w:rFonts w:ascii="Calibri" w:cs="Calibri" w:eastAsia="Calibri" w:hAnsi="Calibri"/>
          <w:i/>
          <w:iCs/>
          <w:color w:val="15201C"/>
          <w:sz w:val="20"/>
          <w:szCs w:val="20"/>
        </w:rPr>
        <w:t xml:space="preserve">lived</w:t>
      </w:r>
      <w:r>
        <w:rPr>
          <w:rFonts w:ascii="Calibri" w:cs="Calibri" w:eastAsia="Calibri" w:hAnsi="Calibri"/>
          <w:color w:val="15201C"/>
          <w:sz w:val="20"/>
          <w:szCs w:val="20"/>
        </w:rPr>
        <w:t xml:space="preserve">. Source location gives the sending facility; address history updates to the destination facility on admission — 50 records in this cohort point at Bethany Cochrane itself. The provincial registry solves it: one row per person per fiscal year, showing where every Albertan lived, going back to the 1990s.</w:t>
      </w:r>
    </w:p>
    <w:p>
      <w:pPr>
        <w:spacing w:after="90" w:line="252"/>
        <w:ind w:left="400" w:hanging="400"/>
      </w:pPr>
      <w:r>
        <w:rPr>
          <w:rFonts w:ascii="Consolas" w:cs="Consolas" w:eastAsia="Consolas" w:hAnsi="Consolas"/>
          <w:b/>
          <w:bCs/>
          <w:color w:val="058C72"/>
          <w:sz w:val="16"/>
          <w:szCs w:val="16"/>
        </w:rPr>
        <w:t xml:space="preserve">1.  </w:t>
      </w:r>
      <w:r>
        <w:rPr>
          <w:rFonts w:ascii="Calibri" w:cs="Calibri" w:eastAsia="Calibri" w:hAnsi="Calibri"/>
          <w:b/>
          <w:bCs/>
          <w:color w:val="15201C"/>
          <w:sz w:val="19"/>
          <w:szCs w:val="19"/>
        </w:rPr>
        <w:t xml:space="preserve">Anchor on entry to residential care.  </w:t>
      </w:r>
      <w:r>
        <w:rPr>
          <w:rFonts w:ascii="Calibri" w:cs="Calibri" w:eastAsia="Calibri" w:hAnsi="Calibri"/>
          <w:color w:val="3A4844"/>
          <w:sz w:val="19"/>
          <w:szCs w:val="19"/>
        </w:rPr>
        <w:t xml:space="preserve">Each person’s first-ever Type A/B admission. Day programs and hospital transition units are excluded — anchoring on those sits a median 1.6 years too early and changed 21% of anchors.</w:t>
      </w:r>
    </w:p>
    <w:p>
      <w:pPr>
        <w:spacing w:after="90" w:line="252"/>
        <w:ind w:left="400" w:hanging="400"/>
      </w:pPr>
      <w:r>
        <w:rPr>
          <w:rFonts w:ascii="Consolas" w:cs="Consolas" w:eastAsia="Consolas" w:hAnsi="Consolas"/>
          <w:b/>
          <w:bCs/>
          <w:color w:val="058C72"/>
          <w:sz w:val="16"/>
          <w:szCs w:val="16"/>
        </w:rPr>
        <w:t xml:space="preserve">2.  </w:t>
      </w:r>
      <w:r>
        <w:rPr>
          <w:rFonts w:ascii="Calibri" w:cs="Calibri" w:eastAsia="Calibri" w:hAnsi="Calibri"/>
          <w:b/>
          <w:bCs/>
          <w:color w:val="15201C"/>
          <w:sz w:val="19"/>
          <w:szCs w:val="19"/>
        </w:rPr>
        <w:t xml:space="preserve">Look back three fiscal years  </w:t>
      </w:r>
      <w:r>
        <w:rPr>
          <w:rFonts w:ascii="Calibri" w:cs="Calibri" w:eastAsia="Calibri" w:hAnsi="Calibri"/>
          <w:color w:val="3A4844"/>
          <w:sz w:val="19"/>
          <w:szCs w:val="19"/>
        </w:rPr>
        <w:t xml:space="preserve">from that anchor, ending the year before care began. Pre-care years cannot contain a facility address. Two- and five-year windows return an identical set of people.</w:t>
      </w:r>
    </w:p>
    <w:p>
      <w:pPr>
        <w:spacing w:after="90" w:line="252"/>
        <w:ind w:left="400" w:hanging="400"/>
      </w:pPr>
      <w:r>
        <w:rPr>
          <w:rFonts w:ascii="Consolas" w:cs="Consolas" w:eastAsia="Consolas" w:hAnsi="Consolas"/>
          <w:b/>
          <w:bCs/>
          <w:color w:val="058C72"/>
          <w:sz w:val="16"/>
          <w:szCs w:val="16"/>
        </w:rPr>
        <w:t xml:space="preserve">3.  </w:t>
      </w:r>
      <w:r>
        <w:rPr>
          <w:rFonts w:ascii="Calibri" w:cs="Calibri" w:eastAsia="Calibri" w:hAnsi="Calibri"/>
          <w:b/>
          <w:bCs/>
          <w:color w:val="15201C"/>
          <w:sz w:val="19"/>
          <w:szCs w:val="19"/>
        </w:rPr>
        <w:t xml:space="preserve">Resolve to a legal boundary.  </w:t>
      </w:r>
      <w:r>
        <w:rPr>
          <w:rFonts w:ascii="Calibri" w:cs="Calibri" w:eastAsia="Calibri" w:hAnsi="Calibri"/>
          <w:color w:val="3A4844"/>
          <w:sz w:val="19"/>
          <w:szCs w:val="19"/>
        </w:rPr>
        <w:t xml:space="preserve">Town of Cochrane = Statistics Canada census subdivision, 568 postal codes. The reference table’s municipality field mislabels 22 Rocky View County codes as Cochrane; the T4C prefix splits 562 Town / 41 county.</w:t>
      </w:r>
    </w:p>
    <w:p>
      <w:pPr>
        <w:spacing w:after="90" w:line="252"/>
        <w:ind w:left="400" w:hanging="400"/>
      </w:pPr>
      <w:r>
        <w:rPr>
          <w:rFonts w:ascii="Consolas" w:cs="Consolas" w:eastAsia="Consolas" w:hAnsi="Consolas"/>
          <w:b/>
          <w:bCs/>
          <w:color w:val="058C72"/>
          <w:sz w:val="16"/>
          <w:szCs w:val="16"/>
        </w:rPr>
        <w:t xml:space="preserve">4.  </w:t>
      </w:r>
      <w:r>
        <w:rPr>
          <w:rFonts w:ascii="Calibri" w:cs="Calibri" w:eastAsia="Calibri" w:hAnsi="Calibri"/>
          <w:b/>
          <w:bCs/>
          <w:color w:val="15201C"/>
          <w:sz w:val="19"/>
          <w:szCs w:val="19"/>
        </w:rPr>
        <w:t xml:space="preserve">Fix residence once per person.  </w:t>
      </w:r>
      <w:r>
        <w:rPr>
          <w:rFonts w:ascii="Calibri" w:cs="Calibri" w:eastAsia="Calibri" w:hAnsi="Calibri"/>
          <w:color w:val="3A4844"/>
          <w:sz w:val="19"/>
          <w:szCs w:val="19"/>
        </w:rPr>
        <w:t xml:space="preserve">Origin does not change because someone later moves beds, so a transfer between two Cochrane facilities cannot convert an outside resident into a local one.</w:t>
      </w:r>
    </w:p>
    <w:p>
      <w:pPr>
        <w:spacing w:after="90" w:line="252"/>
        <w:ind w:left="400" w:hanging="400"/>
      </w:pPr>
      <w:r>
        <w:rPr>
          <w:rFonts w:ascii="Consolas" w:cs="Consolas" w:eastAsia="Consolas" w:hAnsi="Consolas"/>
          <w:b/>
          <w:bCs/>
          <w:color w:val="058C72"/>
          <w:sz w:val="16"/>
          <w:szCs w:val="16"/>
        </w:rPr>
        <w:t xml:space="preserve">5.  </w:t>
      </w:r>
      <w:r>
        <w:rPr>
          <w:rFonts w:ascii="Calibri" w:cs="Calibri" w:eastAsia="Calibri" w:hAnsi="Calibri"/>
          <w:b/>
          <w:bCs/>
          <w:color w:val="15201C"/>
          <w:sz w:val="19"/>
          <w:szCs w:val="19"/>
        </w:rPr>
        <w:t xml:space="preserve">Two wait clocks, never blended.  </w:t>
      </w:r>
      <w:r>
        <w:rPr>
          <w:rFonts w:ascii="Calibri" w:cs="Calibri" w:eastAsia="Calibri" w:hAnsi="Calibri"/>
          <w:color w:val="3A4844"/>
          <w:sz w:val="19"/>
          <w:szCs w:val="19"/>
        </w:rPr>
        <w:t xml:space="preserve">New placements run from assessment and approval; transfers from the transfer-enabled date. Medians differ by an order of magnitude. Legacy records with the approval date back-filled to the admission date are excluded from the new-placement clock.</w:t>
      </w:r>
    </w:p>
    <w:p>
      <w:pPr>
        <w:spacing w:after="90" w:line="252"/>
        <w:ind w:left="400" w:hanging="400"/>
      </w:pPr>
      <w:r>
        <w:rPr>
          <w:rFonts w:ascii="Consolas" w:cs="Consolas" w:eastAsia="Consolas" w:hAnsi="Consolas"/>
          <w:b/>
          <w:bCs/>
          <w:color w:val="058C72"/>
          <w:sz w:val="16"/>
          <w:szCs w:val="16"/>
        </w:rPr>
        <w:t xml:space="preserve">6.  </w:t>
      </w:r>
      <w:r>
        <w:rPr>
          <w:rFonts w:ascii="Calibri" w:cs="Calibri" w:eastAsia="Calibri" w:hAnsi="Calibri"/>
          <w:b/>
          <w:bCs/>
          <w:color w:val="15201C"/>
          <w:sz w:val="19"/>
          <w:szCs w:val="19"/>
        </w:rPr>
        <w:t xml:space="preserve">Demand counted per person, capacity per admission.  </w:t>
      </w:r>
      <w:r>
        <w:rPr>
          <w:rFonts w:ascii="Calibri" w:cs="Calibri" w:eastAsia="Calibri" w:hAnsi="Calibri"/>
          <w:color w:val="3A4844"/>
          <w:sz w:val="19"/>
          <w:szCs w:val="19"/>
        </w:rPr>
        <w:t xml:space="preserve">Demand uses each person’s first-ever placement; capacity counts every admission, because each occupies a bed. Person counts are never summed across years.</w:t>
      </w:r>
    </w:p>
    <w:p>
      <w:pPr>
        <w:pStyle w:val="Heading1"/>
        <w:pBdr>
          <w:bottom w:val="single" w:color="DDE2DE" w:sz="4"/>
        </w:pBdr>
        <w:spacing w:after="120" w:before="320"/>
      </w:pPr>
      <w:r>
        <w:rPr>
          <w:rFonts w:ascii="Consolas" w:cs="Consolas" w:eastAsia="Consolas" w:hAnsi="Consolas"/>
          <w:b/>
          <w:bCs/>
          <w:caps/>
          <w:color w:val="058C72"/>
          <w:spacing w:val="26"/>
          <w:sz w:val="16"/>
          <w:szCs w:val="16"/>
        </w:rPr>
        <w:t xml:space="preserve">Limits and validation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0"/>
        <w:gridCol w:w="2500"/>
      </w:tblGrid>
      <w:tr>
        <w:trPr>
          <w:tblHeader/>
        </w:trPr>
        <w:tc>
          <w:tcPr>
            <w:tcW w:type="dxa" w:w="75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Integrity check</w:t>
            </w:r>
          </w:p>
        </w:tc>
        <w:tc>
          <w:tcPr>
            <w:tcW w:type="dxa" w:w="2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shd w:fill="EDF0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5C6862"/>
                <w:sz w:val="14"/>
                <w:szCs w:val="14"/>
              </w:rPr>
              <w:t xml:space="preserve">Result</w:t>
            </w:r>
          </w:p>
        </w:tc>
      </w:tr>
      <w:tr>
        <w:tc>
          <w:tcPr>
            <w:tcW w:type="dxa" w:w="75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Demand record is the person’s first-ever residential admission</w:t>
            </w:r>
          </w:p>
        </w:tc>
        <w:tc>
          <w:tcPr>
            <w:tcW w:type="dxa" w:w="2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5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Demand population is one row per person</w:t>
            </w:r>
          </w:p>
        </w:tc>
        <w:tc>
          <w:tcPr>
            <w:tcW w:type="dxa" w:w="2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546 / 546</w:t>
            </w:r>
          </w:p>
        </w:tc>
      </w:tr>
      <w:tr>
        <w:tc>
          <w:tcPr>
            <w:tcW w:type="dxa" w:w="75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Registry linkage rate</w:t>
            </w:r>
          </w:p>
        </w:tc>
        <w:tc>
          <w:tcPr>
            <w:tcW w:type="dxa" w:w="2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5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Duplicate person identifiers</w:t>
            </w:r>
          </w:p>
        </w:tc>
        <w:tc>
          <w:tcPr>
            <w:tcW w:type="dxa" w:w="2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8C7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5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Residence verdicts on 10+ years of history</w:t>
            </w:r>
          </w:p>
        </w:tc>
        <w:tc>
          <w:tcPr>
            <w:tcW w:type="dxa" w:w="2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86.4%</w:t>
            </w:r>
          </w:p>
        </w:tc>
      </w:tr>
      <w:tr>
        <w:tc>
          <w:tcPr>
            <w:tcW w:type="dxa" w:w="758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Residence verdicts on under 5 years</w:t>
            </w:r>
          </w:p>
        </w:tc>
        <w:tc>
          <w:tcPr>
            <w:tcW w:type="dxa" w:w="2500"/>
            <w:tcBorders>
              <w:top w:val="single" w:color="DDE2DE" w:sz="4"/>
              <w:left w:val="single" w:color="DDE2DE" w:sz="4"/>
              <w:bottom w:val="single" w:color="DDE2DE" w:sz="4"/>
              <w:right w:val="single" w:color="DDE2D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5201C"/>
                <w:sz w:val="18"/>
                <w:szCs w:val="18"/>
              </w:rPr>
              <w:t xml:space="preserve">5.0%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p>
      <w:pPr>
        <w:spacing w:after="80" w:before="0" w:line="252"/>
      </w:pPr>
      <w:r>
        <w:rPr>
          <w:rFonts w:ascii="Calibri" w:cs="Calibri" w:eastAsia="Calibri" w:hAnsi="Calibri"/>
          <w:b/>
          <w:bCs/>
          <w:color w:val="15201C"/>
          <w:sz w:val="20"/>
          <w:szCs w:val="20"/>
        </w:rPr>
        <w:t xml:space="preserve">Conditioned on placement. </w:t>
      </w:r>
      <w:r>
        <w:rPr>
          <w:rFonts w:ascii="Calibri" w:cs="Calibri" w:eastAsia="Calibri" w:hAnsi="Calibri"/>
          <w:color w:val="15201C"/>
          <w:sz w:val="20"/>
          <w:szCs w:val="20"/>
        </w:rPr>
        <w:t xml:space="preserve">Residents still waiting, who withdrew, or who died before a bed opened are not counted. The 317 is local demand that was eventually served — not total local need.</w:t>
      </w:r>
    </w:p>
    <w:p>
      <w:pPr>
        <w:spacing w:after="80" w:before="0" w:line="252"/>
      </w:pPr>
      <w:r>
        <w:rPr>
          <w:rFonts w:ascii="Calibri" w:cs="Calibri" w:eastAsia="Calibri" w:hAnsi="Calibri"/>
          <w:b/>
          <w:bCs/>
          <w:color w:val="15201C"/>
          <w:sz w:val="20"/>
          <w:szCs w:val="20"/>
        </w:rPr>
        <w:t xml:space="preserve">Destination not named. </w:t>
      </w:r>
      <w:r>
        <w:rPr>
          <w:rFonts w:ascii="Calibri" w:cs="Calibri" w:eastAsia="Calibri" w:hAnsi="Calibri"/>
          <w:color w:val="15201C"/>
          <w:sz w:val="20"/>
          <w:szCs w:val="20"/>
        </w:rPr>
        <w:t xml:space="preserve">The analysis records whether a placement was in Cochrane, not which community it was in.</w:t>
      </w:r>
    </w:p>
    <w:p>
      <w:pPr>
        <w:spacing w:after="120" w:before="0" w:line="252"/>
      </w:pPr>
      <w:r>
        <w:rPr>
          <w:rFonts w:ascii="Calibri" w:cs="Calibri" w:eastAsia="Calibri" w:hAnsi="Calibri"/>
          <w:b/>
          <w:bCs/>
          <w:color w:val="15201C"/>
          <w:sz w:val="20"/>
          <w:szCs w:val="20"/>
        </w:rPr>
        <w:t xml:space="preserve">Error runs one way. </w:t>
      </w:r>
      <w:r>
        <w:rPr>
          <w:rFonts w:ascii="Calibri" w:cs="Calibri" w:eastAsia="Calibri" w:hAnsi="Calibri"/>
          <w:color w:val="15201C"/>
          <w:sz w:val="20"/>
          <w:szCs w:val="20"/>
        </w:rPr>
        <w:t xml:space="preserve">Residents placed elsewhere are found only through a registry address, so coverage gaps can only understate displacement. 69.4% is a floor.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58C72" w:sz="18"/>
              <w:bottom w:val="none" w:color="FFFFFF" w:sz="0"/>
              <w:right w:val="none" w:color="FFFFFF" w:sz="0"/>
            </w:tcBorders>
            <w:shd w:fill="E9F3F0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aps/>
                <w:color w:val="058C72"/>
                <w:spacing w:val="26"/>
                <w:sz w:val="14"/>
                <w:szCs w:val="14"/>
              </w:rPr>
              <w:t xml:space="preserve">Excluded from scope</w:t>
            </w:r>
          </w:p>
          <w:p>
            <w:pPr>
              <w:spacing w:after="70" w:line="252"/>
            </w:pPr>
            <w:r>
              <w:rPr>
                <w:rFonts w:ascii="Calibri" w:cs="Calibri" w:eastAsia="Calibri" w:hAnsi="Calibri"/>
                <w:color w:val="15201C"/>
                <w:sz w:val="19"/>
                <w:szCs w:val="19"/>
              </w:rPr>
              <w:t xml:space="preserve">Level 3 supportive living (no Cochrane capacity exists) and 50 people already in residential care before the window opened — their in-window admission is a later placement, not a first one. They remain in the capacity figures.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50" w:before="0" w:line="252"/>
      </w:pPr>
      <w:r>
        <w:rPr>
          <w:rFonts w:ascii="Consolas" w:cs="Consolas" w:eastAsia="Consolas" w:hAnsi="Consolas"/>
          <w:color w:val="8B958F"/>
          <w:sz w:val="14"/>
          <w:szCs w:val="14"/>
        </w:rPr>
        <w:t xml:space="preserve">FY2022–FY2026  ·  Type A and Type B continuing care  ·  Town of Cochrane census subdivision (CSDNAME_2021 = COCHRANE, CSDTYPE_2021 = T)</w:t>
      </w:r>
    </w:p>
    <w:p>
      <w:pPr>
        <w:spacing w:after="50" w:before="0" w:line="252"/>
      </w:pPr>
      <w:r>
        <w:rPr>
          <w:rFonts w:ascii="Consolas" w:cs="Consolas" w:eastAsia="Consolas" w:hAnsi="Consolas"/>
          <w:color w:val="8B958F"/>
          <w:sz w:val="14"/>
          <w:szCs w:val="14"/>
        </w:rPr>
        <w:t xml:space="preserve">Sources: continuing care placement records  ·  Alberta provincial registry  ·  Alberta postal code reference  ·  rated-site waitlist census</w:t>
      </w:r>
    </w:p>
    <w:p>
      <w:pPr>
        <w:spacing w:after="0" w:before="0" w:line="252"/>
      </w:pPr>
      <w:r>
        <w:rPr>
          <w:rFonts w:ascii="Consolas" w:cs="Consolas" w:eastAsia="Consolas" w:hAnsi="Consolas"/>
          <w:color w:val="8B958F"/>
          <w:sz w:val="14"/>
          <w:szCs w:val="14"/>
        </w:rPr>
        <w:t xml:space="preserve">All figures reproducible from the documented extraction query. Person-level detail available on request. Full analysis in the companion paper.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2DE" w:sz="4"/>
      </w:pBdr>
      <w:spacing w:before="160"/>
      <w:jc w:val="right"/>
    </w:pPr>
    <w:r>
      <w:rPr>
        <w:rFonts w:ascii="Consolas" w:cs="Consolas" w:eastAsia="Consolas" w:hAnsi="Consolas"/>
        <w:color w:val="5C6862"/>
        <w:sz w:val="14"/>
        <w:szCs w:val="14"/>
      </w:rPr>
      <w:t xml:space="preserve">Cochrane Demand and Capacity   ·   </w:t>
    </w:r>
    <w:r>
      <w:rPr>
        <w:rFonts w:ascii="Consolas" w:cs="Consolas" w:eastAsia="Consolas" w:hAnsi="Consolas"/>
        <w:color w:val="5C686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0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Cochrane Demand and Capacity</dc:title>
  <dc:creator>Continuing Care Planning</dc:creator>
  <dc:description>One-page summary of findings — Bethany Cochrane &amp; Big Hill Lodge campus of care</dc:description>
  <cp:lastModifiedBy>Un-named</cp:lastModifiedBy>
  <cp:revision>1</cp:revision>
  <dcterms:created xsi:type="dcterms:W3CDTF">2026-09-01T19:08:44.915Z</dcterms:created>
  <dcterms:modified xsi:type="dcterms:W3CDTF">2026-09-01T19:08:44.937Z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