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pPr>
      <w:r>
        <w:rPr>
          <w:rFonts w:ascii="Consolas" w:cs="Consolas" w:eastAsia="Consolas" w:hAnsi="Consolas"/>
          <w:b/>
          <w:bCs/>
          <w:color w:val="5C6862"/>
          <w:spacing w:val="24"/>
          <w:sz w:val="16"/>
          <w:szCs w:val="16"/>
        </w:rPr>
        <w:t xml:space="preserve">BETHANY COCHRANE &amp; BIG HILL LODGE CAMPUS OF CARE  ·  EVIDENCE PAPER 01</w:t>
      </w:r>
    </w:p>
    <w:p>
      <w:pPr>
        <w:spacing w:after="180"/>
      </w:pPr>
      <w:r>
        <w:rPr>
          <w:rFonts w:ascii="Georgia" w:cs="Georgia" w:eastAsia="Georgia" w:hAnsi="Georgia"/>
          <w:b/>
          <w:bCs/>
          <w:color w:val="15201C"/>
          <w:sz w:val="52"/>
          <w:szCs w:val="52"/>
        </w:rPr>
        <w:t xml:space="preserve">Where Cochrane Residents Are Placed</w:t>
      </w:r>
    </w:p>
    <w:p>
      <w:pPr>
        <w:spacing w:after="280"/>
      </w:pPr>
      <w:r>
        <w:rPr>
          <w:rFonts w:ascii="Georgia" w:cs="Georgia" w:eastAsia="Georgia" w:hAnsi="Georgia"/>
          <w:i/>
          <w:iCs/>
          <w:color w:val="3A4844"/>
          <w:sz w:val="24"/>
          <w:szCs w:val="24"/>
        </w:rPr>
        <w:t xml:space="preserve">Seven in ten Town of Cochrane residents who enter continuing care receive their first placement somewhere else. Meanwhile most beds in Cochrane’s own facilities go to people from outside the town.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780"/>
        <w:gridCol w:w="1900"/>
        <w:gridCol w:w="1880"/>
      </w:tblGrid>
      <w:tr>
        <w:tc>
          <w:tcPr>
            <w:tcW w:type="dxa" w:w="19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pPr>
            <w:r>
              <w:rPr>
                <w:rFonts w:ascii="Consolas" w:cs="Consolas" w:eastAsia="Consolas" w:hAnsi="Consolas"/>
                <w:b/>
                <w:bCs/>
                <w:color w:val="5C6862"/>
                <w:sz w:val="15"/>
                <w:szCs w:val="15"/>
              </w:rPr>
              <w:t xml:space="preserve">PERIOD</w:t>
            </w:r>
          </w:p>
        </w:tc>
        <w:tc>
          <w:tcPr>
            <w:tcW w:type="dxa" w:w="19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pPr>
            <w:r>
              <w:rPr>
                <w:rFonts w:ascii="Consolas" w:cs="Consolas" w:eastAsia="Consolas" w:hAnsi="Consolas"/>
                <w:b/>
                <w:bCs/>
                <w:color w:val="5C6862"/>
                <w:sz w:val="15"/>
                <w:szCs w:val="15"/>
              </w:rPr>
              <w:t xml:space="preserve">POPULATION</w:t>
            </w:r>
          </w:p>
        </w:tc>
        <w:tc>
          <w:tcPr>
            <w:tcW w:type="dxa" w:w="178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pPr>
            <w:r>
              <w:rPr>
                <w:rFonts w:ascii="Consolas" w:cs="Consolas" w:eastAsia="Consolas" w:hAnsi="Consolas"/>
                <w:b/>
                <w:bCs/>
                <w:color w:val="5C6862"/>
                <w:sz w:val="15"/>
                <w:szCs w:val="15"/>
              </w:rPr>
              <w:t xml:space="preserve">SCOPE</w:t>
            </w:r>
          </w:p>
        </w:tc>
        <w:tc>
          <w:tcPr>
            <w:tcW w:type="dxa" w:w="19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pPr>
            <w:r>
              <w:rPr>
                <w:rFonts w:ascii="Consolas" w:cs="Consolas" w:eastAsia="Consolas" w:hAnsi="Consolas"/>
                <w:b/>
                <w:bCs/>
                <w:color w:val="5C6862"/>
                <w:sz w:val="15"/>
                <w:szCs w:val="15"/>
              </w:rPr>
              <w:t xml:space="preserve">SOURCES</w:t>
            </w:r>
          </w:p>
        </w:tc>
        <w:tc>
          <w:tcPr>
            <w:tcW w:type="dxa" w:w="188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pPr>
            <w:r>
              <w:rPr>
                <w:rFonts w:ascii="Consolas" w:cs="Consolas" w:eastAsia="Consolas" w:hAnsi="Consolas"/>
                <w:b/>
                <w:bCs/>
                <w:color w:val="5C6862"/>
                <w:sz w:val="15"/>
                <w:szCs w:val="15"/>
              </w:rPr>
              <w:t xml:space="preserve">STATUS</w:t>
            </w:r>
          </w:p>
        </w:tc>
      </w:tr>
      <w:tr>
        <w:tc>
          <w:tcPr>
            <w:tcW w:type="dxa" w:w="19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pPr>
            <w:r>
              <w:rPr>
                <w:rFonts w:ascii="Calibri" w:cs="Calibri" w:eastAsia="Calibri" w:hAnsi="Calibri"/>
                <w:color w:val="15201C"/>
                <w:sz w:val="19"/>
                <w:szCs w:val="19"/>
              </w:rPr>
              <w:t xml:space="preserve">FY2022 – FY2026</w:t>
            </w:r>
          </w:p>
        </w:tc>
        <w:tc>
          <w:tcPr>
            <w:tcW w:type="dxa" w:w="19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pPr>
            <w:r>
              <w:rPr>
                <w:rFonts w:ascii="Calibri" w:cs="Calibri" w:eastAsia="Calibri" w:hAnsi="Calibri"/>
                <w:color w:val="15201C"/>
                <w:sz w:val="19"/>
                <w:szCs w:val="19"/>
              </w:rPr>
              <w:t xml:space="preserve">317 Town residents</w:t>
            </w:r>
          </w:p>
        </w:tc>
        <w:tc>
          <w:tcPr>
            <w:tcW w:type="dxa" w:w="178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pPr>
            <w:r>
              <w:rPr>
                <w:rFonts w:ascii="Calibri" w:cs="Calibri" w:eastAsia="Calibri" w:hAnsi="Calibri"/>
                <w:color w:val="15201C"/>
                <w:sz w:val="19"/>
                <w:szCs w:val="19"/>
              </w:rPr>
              <w:t xml:space="preserve">Type A &amp; Type B</w:t>
            </w:r>
          </w:p>
        </w:tc>
        <w:tc>
          <w:tcPr>
            <w:tcW w:type="dxa" w:w="19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pPr>
            <w:r>
              <w:rPr>
                <w:rFonts w:ascii="Calibri" w:cs="Calibri" w:eastAsia="Calibri" w:hAnsi="Calibri"/>
                <w:color w:val="15201C"/>
                <w:sz w:val="19"/>
                <w:szCs w:val="19"/>
              </w:rPr>
              <w:t xml:space="preserve">Placement system; AB registry</w:t>
            </w:r>
          </w:p>
        </w:tc>
        <w:tc>
          <w:tcPr>
            <w:tcW w:type="dxa" w:w="188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pPr>
            <w:r>
              <w:rPr>
                <w:rFonts w:ascii="Calibri" w:cs="Calibri" w:eastAsia="Calibri" w:hAnsi="Calibri"/>
                <w:color w:val="15201C"/>
                <w:sz w:val="19"/>
                <w:szCs w:val="19"/>
              </w:rPr>
              <w:t xml:space="preserve">Validated</w:t>
            </w:r>
          </w:p>
        </w:tc>
      </w:tr>
    </w:tbl>
    <w:p>
      <w:pPr>
        <w:spacing w:after="200"/>
      </w:pPr>
      <w:r>
        <w:rPr>
          <w:sz w:val="2"/>
          <w:szCs w:val="2"/>
        </w:rPr>
        <w:t xml:space="preserve"/>
      </w:r>
    </w:p>
    <w:p>
      <w:pPr>
        <w:pStyle w:val="Heading1"/>
        <w:pBdr>
          <w:bottom w:val="single" w:color="058C72" w:sz="8"/>
        </w:pBdr>
        <w:spacing w:after="160" w:before="420"/>
      </w:pPr>
      <w:r>
        <w:rPr>
          <w:rFonts w:ascii="Consolas" w:cs="Consolas" w:eastAsia="Consolas" w:hAnsi="Consolas"/>
          <w:b/>
          <w:bCs/>
          <w:color w:val="058C72"/>
          <w:sz w:val="20"/>
          <w:szCs w:val="20"/>
        </w:rPr>
        <w:t xml:space="preserve">01   </w:t>
      </w:r>
      <w:r>
        <w:rPr>
          <w:rFonts w:ascii="Georgia" w:cs="Georgia" w:eastAsia="Georgia" w:hAnsi="Georgia"/>
          <w:b/>
          <w:bCs/>
          <w:color w:val="15201C"/>
          <w:sz w:val="30"/>
          <w:szCs w:val="30"/>
        </w:rPr>
        <w:t xml:space="preserve">What this measures</w:t>
      </w:r>
    </w:p>
    <w:p>
      <w:pPr>
        <w:spacing w:after="140" w:before="0" w:line="276"/>
      </w:pPr>
      <w:r>
        <w:rPr>
          <w:rFonts w:ascii="Calibri" w:cs="Calibri" w:eastAsia="Calibri" w:hAnsi="Calibri"/>
          <w:color w:val="15201C"/>
          <w:sz w:val="22"/>
          <w:szCs w:val="22"/>
        </w:rPr>
        <w:t xml:space="preserve">Two questions sit at the centre of the campus-of-care case, and they are not the same question.</w:t>
      </w:r>
    </w:p>
    <w:p>
      <w:pPr>
        <w:spacing w:after="140" w:before="0" w:line="276"/>
      </w:pPr>
      <w:r>
        <w:rPr>
          <w:rFonts w:ascii="Calibri" w:cs="Calibri" w:eastAsia="Calibri" w:hAnsi="Calibri"/>
          <w:b/>
          <w:bCs/>
          <w:color w:val="15201C"/>
          <w:sz w:val="22"/>
          <w:szCs w:val="22"/>
        </w:rPr>
        <w:t xml:space="preserve">How much continuing care demand does the Town of Cochrane generate, and how much of it is served locally? </w:t>
      </w:r>
      <w:r>
        <w:rPr>
          <w:rFonts w:ascii="Calibri" w:cs="Calibri" w:eastAsia="Calibri" w:hAnsi="Calibri"/>
          <w:color w:val="15201C"/>
          <w:sz w:val="22"/>
          <w:szCs w:val="22"/>
        </w:rPr>
        <w:t xml:space="preserve">That is a question about residents — people whose need for care arose while they lived in Cochrane.</w:t>
      </w:r>
    </w:p>
    <w:p>
      <w:pPr>
        <w:spacing w:after="140" w:before="0" w:line="276"/>
      </w:pPr>
      <w:r>
        <w:rPr>
          <w:rFonts w:ascii="Calibri" w:cs="Calibri" w:eastAsia="Calibri" w:hAnsi="Calibri"/>
          <w:b/>
          <w:bCs/>
          <w:color w:val="15201C"/>
          <w:sz w:val="22"/>
          <w:szCs w:val="22"/>
        </w:rPr>
        <w:t xml:space="preserve">Who occupies the beds that already exist in Cochrane? </w:t>
      </w:r>
      <w:r>
        <w:rPr>
          <w:rFonts w:ascii="Calibri" w:cs="Calibri" w:eastAsia="Calibri" w:hAnsi="Calibri"/>
          <w:color w:val="15201C"/>
          <w:sz w:val="22"/>
          <w:szCs w:val="22"/>
        </w:rPr>
        <w:t xml:space="preserve">That is a question about facilities, and the people filling them may or may not be from the town.</w:t>
      </w:r>
    </w:p>
    <w:p>
      <w:pPr>
        <w:spacing w:after="140" w:before="0" w:line="276"/>
      </w:pPr>
      <w:r>
        <w:rPr>
          <w:rFonts w:ascii="Calibri" w:cs="Calibri" w:eastAsia="Calibri" w:hAnsi="Calibri"/>
          <w:color w:val="15201C"/>
          <w:sz w:val="22"/>
          <w:szCs w:val="22"/>
        </w:rPr>
        <w:t xml:space="preserve">Answering both requires knowing, for every person placed into continuing care, where they actually lived before they needed it. That turns out to be the hard part, and Section 02 explains how it was solved.</w:t>
      </w:r>
    </w:p>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9DEDA" w:sz="4"/>
              <w:left w:val="single" w:color="D9DEDA" w:sz="4"/>
              <w:bottom w:val="single" w:color="D9DEDA" w:sz="4"/>
              <w:right w:val="single" w:color="D9DEDA" w:sz="4"/>
            </w:tcBorders>
            <w:shd w:fill="F7F9F8" w:color="auto" w:val="clear"/>
            <w:tcMar>
              <w:top w:type="dxa" w:w="90"/>
              <w:left w:type="dxa" w:w="130"/>
              <w:bottom w:type="dxa" w:w="90"/>
              <w:right w:type="dxa" w:w="130"/>
            </w:tcMar>
          </w:tcPr>
          <w:p>
            <w:pPr>
              <w:spacing w:after="40"/>
            </w:pPr>
            <w:r>
              <w:rPr>
                <w:rFonts w:ascii="Georgia" w:cs="Georgia" w:eastAsia="Georgia" w:hAnsi="Georgia"/>
                <w:b/>
                <w:bCs/>
                <w:color w:val="15201C"/>
                <w:sz w:val="44"/>
                <w:szCs w:val="44"/>
              </w:rPr>
              <w:t xml:space="preserve">317</w:t>
            </w:r>
          </w:p>
          <w:p>
            <w:pPr>
              <w:spacing w:after="0"/>
            </w:pPr>
            <w:r>
              <w:rPr>
                <w:rFonts w:ascii="Calibri" w:cs="Calibri" w:eastAsia="Calibri" w:hAnsi="Calibri"/>
                <w:color w:val="3A4844"/>
                <w:sz w:val="18"/>
                <w:szCs w:val="18"/>
              </w:rPr>
              <w:t xml:space="preserve">Town of Cochrane residents entered continuing care</w:t>
            </w:r>
          </w:p>
          <w:p>
            <w:pPr>
              <w:spacing w:after="0" w:before="40"/>
            </w:pPr>
            <w:r>
              <w:rPr>
                <w:rFonts w:ascii="Consolas" w:cs="Consolas" w:eastAsia="Consolas" w:hAnsi="Consolas"/>
                <w:color w:val="5C6862"/>
                <w:sz w:val="14"/>
                <w:szCs w:val="14"/>
              </w:rPr>
              <w:t xml:space="preserve">FY2022–26, first-ever placement</w:t>
            </w:r>
          </w:p>
        </w:tc>
        <w:tc>
          <w:tcPr>
            <w:tcW w:type="dxa" w:w="2340"/>
            <w:tcBorders>
              <w:top w:val="single" w:color="D9DEDA" w:sz="4"/>
              <w:left w:val="single" w:color="D9DEDA" w:sz="4"/>
              <w:bottom w:val="single" w:color="D9DEDA" w:sz="4"/>
              <w:right w:val="single" w:color="D9DEDA" w:sz="4"/>
            </w:tcBorders>
            <w:shd w:fill="F7F9F8" w:color="auto" w:val="clear"/>
            <w:tcMar>
              <w:top w:type="dxa" w:w="90"/>
              <w:left w:type="dxa" w:w="130"/>
              <w:bottom w:type="dxa" w:w="90"/>
              <w:right w:type="dxa" w:w="130"/>
            </w:tcMar>
          </w:tcPr>
          <w:p>
            <w:pPr>
              <w:spacing w:after="40"/>
            </w:pPr>
            <w:r>
              <w:rPr>
                <w:rFonts w:ascii="Georgia" w:cs="Georgia" w:eastAsia="Georgia" w:hAnsi="Georgia"/>
                <w:b/>
                <w:bCs/>
                <w:color w:val="C4671A"/>
                <w:sz w:val="44"/>
                <w:szCs w:val="44"/>
              </w:rPr>
              <w:t xml:space="preserve">69.4%</w:t>
            </w:r>
          </w:p>
          <w:p>
            <w:pPr>
              <w:spacing w:after="0"/>
            </w:pPr>
            <w:r>
              <w:rPr>
                <w:rFonts w:ascii="Calibri" w:cs="Calibri" w:eastAsia="Calibri" w:hAnsi="Calibri"/>
                <w:color w:val="3A4844"/>
                <w:sz w:val="18"/>
                <w:szCs w:val="18"/>
              </w:rPr>
              <w:t xml:space="preserve">were first placed outside Cochrane</w:t>
            </w:r>
          </w:p>
          <w:p>
            <w:pPr>
              <w:spacing w:after="0" w:before="40"/>
            </w:pPr>
            <w:r>
              <w:rPr>
                <w:rFonts w:ascii="Consolas" w:cs="Consolas" w:eastAsia="Consolas" w:hAnsi="Consolas"/>
                <w:color w:val="5C6862"/>
                <w:sz w:val="14"/>
                <w:szCs w:val="14"/>
              </w:rPr>
              <w:t xml:space="preserve">220 of 317 people</w:t>
            </w:r>
          </w:p>
        </w:tc>
        <w:tc>
          <w:tcPr>
            <w:tcW w:type="dxa" w:w="2340"/>
            <w:tcBorders>
              <w:top w:val="single" w:color="D9DEDA" w:sz="4"/>
              <w:left w:val="single" w:color="D9DEDA" w:sz="4"/>
              <w:bottom w:val="single" w:color="D9DEDA" w:sz="4"/>
              <w:right w:val="single" w:color="D9DEDA" w:sz="4"/>
            </w:tcBorders>
            <w:shd w:fill="F7F9F8" w:color="auto" w:val="clear"/>
            <w:tcMar>
              <w:top w:type="dxa" w:w="90"/>
              <w:left w:type="dxa" w:w="130"/>
              <w:bottom w:type="dxa" w:w="90"/>
              <w:right w:type="dxa" w:w="130"/>
            </w:tcMar>
          </w:tcPr>
          <w:p>
            <w:pPr>
              <w:spacing w:after="40"/>
            </w:pPr>
            <w:r>
              <w:rPr>
                <w:rFonts w:ascii="Georgia" w:cs="Georgia" w:eastAsia="Georgia" w:hAnsi="Georgia"/>
                <w:b/>
                <w:bCs/>
                <w:color w:val="C4671A"/>
                <w:sz w:val="44"/>
                <w:szCs w:val="44"/>
              </w:rPr>
              <w:t xml:space="preserve">84.8%</w:t>
            </w:r>
          </w:p>
          <w:p>
            <w:pPr>
              <w:spacing w:after="0"/>
            </w:pPr>
            <w:r>
              <w:rPr>
                <w:rFonts w:ascii="Calibri" w:cs="Calibri" w:eastAsia="Calibri" w:hAnsi="Calibri"/>
                <w:color w:val="3A4844"/>
                <w:sz w:val="18"/>
                <w:szCs w:val="18"/>
              </w:rPr>
              <w:t xml:space="preserve">for long-term care specifically</w:t>
            </w:r>
          </w:p>
          <w:p>
            <w:pPr>
              <w:spacing w:after="0" w:before="40"/>
            </w:pPr>
            <w:r>
              <w:rPr>
                <w:rFonts w:ascii="Consolas" w:cs="Consolas" w:eastAsia="Consolas" w:hAnsi="Consolas"/>
                <w:color w:val="5C6862"/>
                <w:sz w:val="14"/>
                <w:szCs w:val="14"/>
              </w:rPr>
              <w:t xml:space="preserve">140 of 165 people</w:t>
            </w:r>
          </w:p>
        </w:tc>
        <w:tc>
          <w:tcPr>
            <w:tcW w:type="dxa" w:w="2340"/>
            <w:tcBorders>
              <w:top w:val="single" w:color="D9DEDA" w:sz="4"/>
              <w:left w:val="single" w:color="D9DEDA" w:sz="4"/>
              <w:bottom w:val="single" w:color="D9DEDA" w:sz="4"/>
              <w:right w:val="single" w:color="D9DEDA" w:sz="4"/>
            </w:tcBorders>
            <w:shd w:fill="F7F9F8" w:color="auto" w:val="clear"/>
            <w:tcMar>
              <w:top w:type="dxa" w:w="90"/>
              <w:left w:type="dxa" w:w="130"/>
              <w:bottom w:type="dxa" w:w="90"/>
              <w:right w:type="dxa" w:w="130"/>
            </w:tcMar>
          </w:tcPr>
          <w:p>
            <w:pPr>
              <w:spacing w:after="40"/>
            </w:pPr>
            <w:r>
              <w:rPr>
                <w:rFonts w:ascii="Georgia" w:cs="Georgia" w:eastAsia="Georgia" w:hAnsi="Georgia"/>
                <w:b/>
                <w:bCs/>
                <w:color w:val="15201C"/>
                <w:sz w:val="44"/>
                <w:szCs w:val="44"/>
              </w:rPr>
              <w:t xml:space="preserve">57.3%</w:t>
            </w:r>
          </w:p>
          <w:p>
            <w:pPr>
              <w:spacing w:after="0"/>
            </w:pPr>
            <w:r>
              <w:rPr>
                <w:rFonts w:ascii="Calibri" w:cs="Calibri" w:eastAsia="Calibri" w:hAnsi="Calibri"/>
                <w:color w:val="3A4844"/>
                <w:sz w:val="18"/>
                <w:szCs w:val="18"/>
              </w:rPr>
              <w:t xml:space="preserve">of placements into Cochrane facilities went to non-residents</w:t>
            </w:r>
          </w:p>
          <w:p>
            <w:pPr>
              <w:spacing w:after="0" w:before="40"/>
            </w:pPr>
            <w:r>
              <w:rPr>
                <w:rFonts w:ascii="Consolas" w:cs="Consolas" w:eastAsia="Consolas" w:hAnsi="Consolas"/>
                <w:color w:val="5C6862"/>
                <w:sz w:val="14"/>
                <w:szCs w:val="14"/>
              </w:rPr>
              <w:t xml:space="preserve">197 of 344 admissions</w:t>
            </w:r>
          </w:p>
        </w:tc>
      </w:tr>
    </w:tbl>
    <w:p>
      <w:pPr>
        <w:spacing w:after="160"/>
      </w:pPr>
      <w:r>
        <w:rPr>
          <w:sz w:val="2"/>
          <w:szCs w:val="2"/>
        </w:rPr>
        <w:t xml:space="preserve"/>
      </w:r>
    </w:p>
    <w:p>
      <w:pPr>
        <w:pStyle w:val="Heading1"/>
        <w:pBdr>
          <w:bottom w:val="single" w:color="058C72" w:sz="8"/>
        </w:pBdr>
        <w:spacing w:after="160" w:before="420"/>
      </w:pPr>
      <w:r>
        <w:rPr>
          <w:rFonts w:ascii="Consolas" w:cs="Consolas" w:eastAsia="Consolas" w:hAnsi="Consolas"/>
          <w:b/>
          <w:bCs/>
          <w:color w:val="058C72"/>
          <w:sz w:val="20"/>
          <w:szCs w:val="20"/>
        </w:rPr>
        <w:t xml:space="preserve">02   </w:t>
      </w:r>
      <w:r>
        <w:rPr>
          <w:rFonts w:ascii="Georgia" w:cs="Georgia" w:eastAsia="Georgia" w:hAnsi="Georgia"/>
          <w:b/>
          <w:bCs/>
          <w:color w:val="15201C"/>
          <w:sz w:val="30"/>
          <w:szCs w:val="30"/>
        </w:rPr>
        <w:t xml:space="preserve">How residence was determined</w:t>
      </w:r>
    </w:p>
    <w:p>
      <w:pPr>
        <w:spacing w:after="140" w:before="0" w:line="276"/>
      </w:pPr>
      <w:r>
        <w:rPr>
          <w:rFonts w:ascii="Calibri" w:cs="Calibri" w:eastAsia="Calibri" w:hAnsi="Calibri"/>
          <w:color w:val="15201C"/>
          <w:sz w:val="22"/>
          <w:szCs w:val="22"/>
        </w:rPr>
        <w:t xml:space="preserve">This is the part of the method that will be unfamiliar, and it is where the analysis either holds or fails. It is worth reading before any figure is used.</w:t>
      </w:r>
    </w:p>
    <w:p>
      <w:pPr>
        <w:pStyle w:val="Heading2"/>
        <w:spacing w:after="100" w:before="280"/>
      </w:pPr>
      <w:r>
        <w:rPr>
          <w:rFonts w:ascii="Calibri" w:cs="Calibri" w:eastAsia="Calibri" w:hAnsi="Calibri"/>
          <w:b/>
          <w:bCs/>
          <w:color w:val="15201C"/>
          <w:sz w:val="23"/>
          <w:szCs w:val="23"/>
        </w:rPr>
        <w:t xml:space="preserve">The problem with the obvious approach</w:t>
      </w:r>
    </w:p>
    <w:p>
      <w:pPr>
        <w:spacing w:after="140" w:before="0" w:line="276"/>
      </w:pPr>
      <w:r>
        <w:rPr>
          <w:rFonts w:ascii="Calibri" w:cs="Calibri" w:eastAsia="Calibri" w:hAnsi="Calibri"/>
          <w:color w:val="15201C"/>
          <w:sz w:val="22"/>
          <w:szCs w:val="22"/>
        </w:rPr>
        <w:t xml:space="preserve">The placement system records where people were </w:t>
      </w:r>
      <w:r>
        <w:rPr>
          <w:rFonts w:ascii="Calibri" w:cs="Calibri" w:eastAsia="Calibri" w:hAnsi="Calibri"/>
          <w:i/>
          <w:iCs/>
          <w:color w:val="15201C"/>
          <w:sz w:val="22"/>
          <w:szCs w:val="22"/>
        </w:rPr>
        <w:t xml:space="preserve">admitted</w:t>
      </w:r>
      <w:r>
        <w:rPr>
          <w:rFonts w:ascii="Calibri" w:cs="Calibri" w:eastAsia="Calibri" w:hAnsi="Calibri"/>
          <w:color w:val="15201C"/>
          <w:sz w:val="22"/>
          <w:szCs w:val="22"/>
        </w:rPr>
        <w:t xml:space="preserve">. It does not reliably record where they </w:t>
      </w:r>
      <w:r>
        <w:rPr>
          <w:rFonts w:ascii="Calibri" w:cs="Calibri" w:eastAsia="Calibri" w:hAnsi="Calibri"/>
          <w:i/>
          <w:iCs/>
          <w:color w:val="15201C"/>
          <w:sz w:val="22"/>
          <w:szCs w:val="22"/>
        </w:rPr>
        <w:t xml:space="preserve">lived</w:t>
      </w:r>
      <w:r>
        <w:rPr>
          <w:rFonts w:ascii="Calibri" w:cs="Calibri" w:eastAsia="Calibri" w:hAnsi="Calibri"/>
          <w:color w:val="15201C"/>
          <w:sz w:val="22"/>
          <w:szCs w:val="22"/>
        </w:rPr>
        <w:t xml:space="preserve">. Three fields look as though they should answer “was this person from Cochrane,” and none of them do.</w:t>
      </w:r>
    </w:p>
    <w:p>
      <w:pPr>
        <w:pStyle w:val="ListParagraph"/>
        <w:numPr>
          <w:ilvl w:val="0"/>
          <w:numId w:val="2"/>
        </w:numPr>
        <w:spacing w:after="90" w:line="276"/>
      </w:pPr>
      <w:r>
        <w:rPr>
          <w:rFonts w:ascii="Calibri" w:cs="Calibri" w:eastAsia="Calibri" w:hAnsi="Calibri"/>
          <w:b/>
          <w:bCs/>
          <w:color w:val="15201C"/>
          <w:sz w:val="22"/>
          <w:szCs w:val="22"/>
        </w:rPr>
        <w:t xml:space="preserve">Source location </w:t>
      </w:r>
      <w:r>
        <w:rPr>
          <w:rFonts w:ascii="Calibri" w:cs="Calibri" w:eastAsia="Calibri" w:hAnsi="Calibri"/>
          <w:color w:val="15201C"/>
          <w:sz w:val="22"/>
          <w:szCs w:val="22"/>
        </w:rPr>
        <w:t xml:space="preserve">is the facility a person arrived from, not their home. Someone who went home → hospital → a Calgary nursing home → Bethany Cochrane appears as arriving from Calgary.</w:t>
      </w:r>
    </w:p>
    <w:p>
      <w:pPr>
        <w:pStyle w:val="ListParagraph"/>
        <w:numPr>
          <w:ilvl w:val="0"/>
          <w:numId w:val="2"/>
        </w:numPr>
        <w:spacing w:after="90" w:line="276"/>
      </w:pPr>
      <w:r>
        <w:rPr>
          <w:rFonts w:ascii="Calibri" w:cs="Calibri" w:eastAsia="Calibri" w:hAnsi="Calibri"/>
          <w:b/>
          <w:bCs/>
          <w:color w:val="15201C"/>
          <w:sz w:val="22"/>
          <w:szCs w:val="22"/>
        </w:rPr>
        <w:t xml:space="preserve">Address history </w:t>
      </w:r>
      <w:r>
        <w:rPr>
          <w:rFonts w:ascii="Calibri" w:cs="Calibri" w:eastAsia="Calibri" w:hAnsi="Calibri"/>
          <w:color w:val="15201C"/>
          <w:sz w:val="22"/>
          <w:szCs w:val="22"/>
        </w:rPr>
        <w:t xml:space="preserve">updates to the facility on admission. Within this cohort, 50 address records point at the Bethany Cochrane campus itself. Counting those as Cochrane residents would let the destination facility manufacture its own demand. The same address also appears in 24 different spellings.</w:t>
      </w:r>
    </w:p>
    <w:p>
      <w:pPr>
        <w:pStyle w:val="ListParagraph"/>
        <w:numPr>
          <w:ilvl w:val="0"/>
          <w:numId w:val="2"/>
        </w:numPr>
        <w:spacing w:after="90" w:line="276"/>
      </w:pPr>
      <w:r>
        <w:rPr>
          <w:rFonts w:ascii="Calibri" w:cs="Calibri" w:eastAsia="Calibri" w:hAnsi="Calibri"/>
          <w:b/>
          <w:bCs/>
          <w:color w:val="15201C"/>
          <w:sz w:val="22"/>
          <w:szCs w:val="22"/>
        </w:rPr>
        <w:t xml:space="preserve">Postal code </w:t>
      </w:r>
      <w:r>
        <w:rPr>
          <w:rFonts w:ascii="Calibri" w:cs="Calibri" w:eastAsia="Calibri" w:hAnsi="Calibri"/>
          <w:color w:val="15201C"/>
          <w:sz w:val="22"/>
          <w:szCs w:val="22"/>
        </w:rPr>
        <w:t xml:space="preserve">is recorded inconsistently and is frequently stale.</w:t>
      </w:r>
    </w:p>
    <w:p>
      <w:pPr>
        <w:spacing w:after="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8C72" w:sz="18"/>
              <w:bottom w:val="none" w:color="FFFFFF" w:sz="0"/>
              <w:right w:val="none" w:color="FFFFFF" w:sz="0"/>
            </w:tcBorders>
            <w:shd w:fill="EAF3F0" w:color="auto" w:val="clear"/>
            <w:tcMar>
              <w:top w:type="dxa" w:w="180"/>
              <w:left w:type="dxa" w:w="200"/>
              <w:bottom w:type="dxa" w:w="180"/>
              <w:right w:type="dxa" w:w="200"/>
            </w:tcMar>
          </w:tcPr>
          <w:p>
            <w:pPr>
              <w:spacing w:after="90"/>
            </w:pPr>
            <w:r>
              <w:rPr>
                <w:rFonts w:ascii="Consolas" w:cs="Consolas" w:eastAsia="Consolas" w:hAnsi="Consolas"/>
                <w:b/>
                <w:bCs/>
                <w:caps/>
                <w:color w:val="058C72"/>
                <w:spacing w:val="26"/>
                <w:sz w:val="16"/>
                <w:szCs w:val="16"/>
              </w:rPr>
              <w:t xml:space="preserve">The method</w:t>
            </w:r>
          </w:p>
          <w:p>
            <w:pPr>
              <w:spacing w:after="90" w:line="276"/>
            </w:pPr>
            <w:r>
              <w:rPr>
                <w:rFonts w:ascii="Calibri" w:cs="Calibri" w:eastAsia="Calibri" w:hAnsi="Calibri"/>
                <w:b/>
                <w:bCs/>
                <w:color w:val="15201C"/>
                <w:sz w:val="21"/>
                <w:szCs w:val="21"/>
              </w:rPr>
              <w:t xml:space="preserve">The provincial registry holds one row per person per fiscal year</w:t>
            </w:r>
            <w:r>
              <w:rPr>
                <w:rFonts w:ascii="Calibri" w:cs="Calibri" w:eastAsia="Calibri" w:hAnsi="Calibri"/>
                <w:color w:val="15201C"/>
                <w:sz w:val="21"/>
                <w:szCs w:val="21"/>
              </w:rPr>
              <w:t xml:space="preserve"> — the postal code they lived at that year, going back to the 1990s. It is a longitudinal record of where every Albertan lived, every year.</w:t>
            </w:r>
          </w:p>
          <w:p>
            <w:pPr>
              <w:spacing w:after="90" w:line="276"/>
            </w:pPr>
            <w:r>
              <w:rPr>
                <w:rFonts w:ascii="Calibri" w:cs="Calibri" w:eastAsia="Calibri" w:hAnsi="Calibri"/>
                <w:color w:val="15201C"/>
                <w:sz w:val="21"/>
                <w:szCs w:val="21"/>
              </w:rPr>
              <w:t xml:space="preserve">That allows a question no placement system can answer: </w:t>
            </w:r>
            <w:r>
              <w:rPr>
                <w:rFonts w:ascii="Calibri" w:cs="Calibri" w:eastAsia="Calibri" w:hAnsi="Calibri"/>
                <w:b/>
                <w:bCs/>
                <w:color w:val="15201C"/>
                <w:sz w:val="21"/>
                <w:szCs w:val="21"/>
              </w:rPr>
              <w:t xml:space="preserve">where did this person live in the years before they entered care?</w:t>
            </w:r>
            <w:r>
              <w:rPr>
                <w:rFonts w:ascii="Calibri" w:cs="Calibri" w:eastAsia="Calibri" w:hAnsi="Calibri"/>
                <w:color w:val="15201C"/>
                <w:sz w:val="21"/>
                <w:szCs w:val="21"/>
              </w:rPr>
              <w:t xml:space="preserve"> Pre-care years cannot contain a facility address, because the person was not yet in a facility. The contamination problem disappears — not by cleaning the data, but by choosing a window in which it cannot occur.</w:t>
            </w:r>
          </w:p>
        </w:tc>
      </w:tr>
    </w:tbl>
    <w:p>
      <w:pPr>
        <w:spacing w:after="200"/>
      </w:pPr>
      <w:r>
        <w:rPr>
          <w:sz w:val="2"/>
          <w:szCs w:val="2"/>
        </w:rPr>
        <w:t xml:space="preserve"/>
      </w:r>
    </w:p>
    <w:p>
      <w:pPr>
        <w:spacing w:after="90" w:before="260"/>
      </w:pPr>
      <w:r>
        <w:rPr>
          <w:rFonts w:ascii="Consolas" w:cs="Consolas" w:eastAsia="Consolas" w:hAnsi="Consolas"/>
          <w:b/>
          <w:bCs/>
          <w:caps/>
          <w:color w:val="5C6862"/>
          <w:spacing w:val="24"/>
          <w:sz w:val="17"/>
          <w:szCs w:val="17"/>
        </w:rPr>
        <w:t xml:space="preserve">The four steps</w:t>
      </w:r>
    </w:p>
    <w:p>
      <w:pPr>
        <w:spacing w:after="150" w:before="0" w:line="276"/>
      </w:pPr>
      <w:r>
        <w:rPr>
          <w:rFonts w:ascii="Calibri" w:cs="Calibri" w:eastAsia="Calibri" w:hAnsi="Calibri"/>
          <w:b/>
          <w:bCs/>
          <w:color w:val="058C72"/>
          <w:sz w:val="22"/>
          <w:szCs w:val="22"/>
        </w:rPr>
        <w:t xml:space="preserve">1.  Find the moment care began.  </w:t>
      </w:r>
      <w:r>
        <w:rPr>
          <w:rFonts w:ascii="Calibri" w:cs="Calibri" w:eastAsia="Calibri" w:hAnsi="Calibri"/>
          <w:color w:val="15201C"/>
          <w:sz w:val="22"/>
          <w:szCs w:val="22"/>
        </w:rPr>
        <w:t xml:space="preserve">For each person, locate their first-ever Type A or Type B admission — the point at which they entered residential care. Day programs and hospital transition units are excluded from this test: they are not residential care, and anchoring on them sits a median of 1.6 years, and up to 6.6 years, too early. Applying that restriction changed the anchor for 21% of the cohort.</w:t>
      </w:r>
    </w:p>
    <w:p>
      <w:pPr>
        <w:spacing w:after="150" w:before="0" w:line="276"/>
      </w:pPr>
      <w:r>
        <w:rPr>
          <w:rFonts w:ascii="Calibri" w:cs="Calibri" w:eastAsia="Calibri" w:hAnsi="Calibri"/>
          <w:b/>
          <w:bCs/>
          <w:color w:val="058C72"/>
          <w:sz w:val="22"/>
          <w:szCs w:val="22"/>
        </w:rPr>
        <w:t xml:space="preserve">2.  Look back three fiscal years.  </w:t>
      </w:r>
      <w:r>
        <w:rPr>
          <w:rFonts w:ascii="Calibri" w:cs="Calibri" w:eastAsia="Calibri" w:hAnsi="Calibri"/>
          <w:color w:val="15201C"/>
          <w:sz w:val="22"/>
          <w:szCs w:val="22"/>
        </w:rPr>
        <w:t xml:space="preserve">Read the registry address for the three years ending the year before care began. The entry year itself is excluded so that a mid-year move into a facility cannot leak in. Three years matches the health authority’s own lookback cap; in practice the window length is immaterial here — two-year and five-year windows return an identical set of people.</w:t>
      </w:r>
    </w:p>
    <w:p>
      <w:pPr>
        <w:spacing w:after="150" w:before="0" w:line="276"/>
      </w:pPr>
      <w:r>
        <w:rPr>
          <w:rFonts w:ascii="Calibri" w:cs="Calibri" w:eastAsia="Calibri" w:hAnsi="Calibri"/>
          <w:b/>
          <w:bCs/>
          <w:color w:val="058C72"/>
          <w:sz w:val="22"/>
          <w:szCs w:val="22"/>
        </w:rPr>
        <w:t xml:space="preserve">3.  Resolve the postal code to a real boundary.  </w:t>
      </w:r>
      <w:r>
        <w:rPr>
          <w:rFonts w:ascii="Calibri" w:cs="Calibri" w:eastAsia="Calibri" w:hAnsi="Calibri"/>
          <w:color w:val="15201C"/>
          <w:sz w:val="22"/>
          <w:szCs w:val="22"/>
        </w:rPr>
        <w:t xml:space="preserve">Town of Cochrane is the Statistics Canada census subdivision — the legal municipal boundary, 568 postal codes. Two tempting shortcuts were rejected: the reference table’s municipality field labels 22 Rocky View County codes as Cochrane, and the T4C postal prefix splits 562 Town against 41 county addresses.</w:t>
      </w:r>
    </w:p>
    <w:p>
      <w:pPr>
        <w:spacing w:after="180" w:before="0" w:line="276"/>
      </w:pPr>
      <w:r>
        <w:rPr>
          <w:rFonts w:ascii="Calibri" w:cs="Calibri" w:eastAsia="Calibri" w:hAnsi="Calibri"/>
          <w:b/>
          <w:bCs/>
          <w:color w:val="058C72"/>
          <w:sz w:val="22"/>
          <w:szCs w:val="22"/>
        </w:rPr>
        <w:t xml:space="preserve">4.  Fix residence once, per person.  </w:t>
      </w:r>
      <w:r>
        <w:rPr>
          <w:rFonts w:ascii="Calibri" w:cs="Calibri" w:eastAsia="Calibri" w:hAnsi="Calibri"/>
          <w:color w:val="15201C"/>
          <w:sz w:val="22"/>
          <w:szCs w:val="22"/>
        </w:rPr>
        <w:t xml:space="preserve">A person’s origin does not change because they later moved beds. Residence is determined at entry to care and never recalculated, so a transfer between two Cochrane facilities cannot convert an outside resident into a local one.</w:t>
      </w:r>
    </w:p>
    <w:p>
      <w:pPr>
        <w:pStyle w:val="Heading2"/>
        <w:spacing w:after="100" w:before="280"/>
      </w:pPr>
      <w:r>
        <w:rPr>
          <w:rFonts w:ascii="Calibri" w:cs="Calibri" w:eastAsia="Calibri" w:hAnsi="Calibri"/>
          <w:b/>
          <w:bCs/>
          <w:color w:val="15201C"/>
          <w:sz w:val="23"/>
          <w:szCs w:val="23"/>
        </w:rPr>
        <w:t xml:space="preserve">Town versus catchment</w:t>
      </w:r>
    </w:p>
    <w:p>
      <w:pPr>
        <w:spacing w:after="140" w:before="0" w:line="276"/>
      </w:pPr>
      <w:r>
        <w:rPr>
          <w:rFonts w:ascii="Calibri" w:cs="Calibri" w:eastAsia="Calibri" w:hAnsi="Calibri"/>
          <w:color w:val="15201C"/>
          <w:sz w:val="22"/>
          <w:szCs w:val="22"/>
        </w:rPr>
        <w:t xml:space="preserve">Two boundaries are reported separately. </w:t>
      </w:r>
      <w:r>
        <w:rPr>
          <w:rFonts w:ascii="Calibri" w:cs="Calibri" w:eastAsia="Calibri" w:hAnsi="Calibri"/>
          <w:b/>
          <w:bCs/>
          <w:color w:val="15201C"/>
          <w:sz w:val="22"/>
          <w:szCs w:val="22"/>
        </w:rPr>
        <w:t xml:space="preserve">Town of Cochrane</w:t>
      </w:r>
      <w:r>
        <w:rPr>
          <w:rFonts w:ascii="Calibri" w:cs="Calibri" w:eastAsia="Calibri" w:hAnsi="Calibri"/>
          <w:color w:val="15201C"/>
          <w:sz w:val="22"/>
          <w:szCs w:val="22"/>
        </w:rPr>
        <w:t xml:space="preserve"> (568 postal codes) is the municipality. The </w:t>
      </w:r>
      <w:r>
        <w:rPr>
          <w:rFonts w:ascii="Calibri" w:cs="Calibri" w:eastAsia="Calibri" w:hAnsi="Calibri"/>
          <w:b/>
          <w:bCs/>
          <w:color w:val="15201C"/>
          <w:sz w:val="22"/>
          <w:szCs w:val="22"/>
        </w:rPr>
        <w:t xml:space="preserve">Cochrane catchment</w:t>
      </w:r>
      <w:r>
        <w:rPr>
          <w:rFonts w:ascii="Calibri" w:cs="Calibri" w:eastAsia="Calibri" w:hAnsi="Calibri"/>
          <w:color w:val="15201C"/>
          <w:sz w:val="22"/>
          <w:szCs w:val="22"/>
        </w:rPr>
        <w:t xml:space="preserve"> (1,177 codes) adds Springbank and rural Rocky View — areas the facilities serve but the town does not govern. The headline uses the Town. The catchment adds a further 86 residents, of whom 81 were also placed outside Cochrane.</w:t>
      </w:r>
    </w:p>
    <w:p>
      <w:pPr>
        <w:pStyle w:val="Heading1"/>
        <w:pBdr>
          <w:bottom w:val="single" w:color="058C72" w:sz="8"/>
        </w:pBdr>
        <w:spacing w:after="160" w:before="420"/>
      </w:pPr>
      <w:r>
        <w:rPr>
          <w:rFonts w:ascii="Consolas" w:cs="Consolas" w:eastAsia="Consolas" w:hAnsi="Consolas"/>
          <w:b/>
          <w:bCs/>
          <w:color w:val="058C72"/>
          <w:sz w:val="20"/>
          <w:szCs w:val="20"/>
        </w:rPr>
        <w:t xml:space="preserve">03   </w:t>
      </w:r>
      <w:r>
        <w:rPr>
          <w:rFonts w:ascii="Georgia" w:cs="Georgia" w:eastAsia="Georgia" w:hAnsi="Georgia"/>
          <w:b/>
          <w:bCs/>
          <w:color w:val="15201C"/>
          <w:sz w:val="30"/>
          <w:szCs w:val="30"/>
        </w:rPr>
        <w:t xml:space="preserve">Cohort definitions</w:t>
      </w:r>
    </w:p>
    <w:p>
      <w:pPr>
        <w:spacing w:after="140" w:before="0" w:line="276"/>
      </w:pPr>
      <w:r>
        <w:rPr>
          <w:rFonts w:ascii="Calibri" w:cs="Calibri" w:eastAsia="Calibri" w:hAnsi="Calibri"/>
          <w:color w:val="15201C"/>
          <w:sz w:val="22"/>
          <w:szCs w:val="22"/>
        </w:rPr>
        <w:t xml:space="preserve">Residence and placement destination combine into four groups. Every person and every admission in this analysis falls into exactly one of them.</w:t>
      </w:r>
    </w:p>
    <w:p>
      <w:pPr>
        <w:spacing w:after="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pPr>
            <w:r>
              <w:rPr>
                <w:rFonts w:ascii="Calibri" w:cs="Calibri" w:eastAsia="Calibri" w:hAnsi="Calibri"/>
                <w:color w:val="15201C"/>
                <w:sz w:val="20"/>
                <w:szCs w:val="20"/>
              </w:rPr>
              <w:t xml:space="preserve"/>
            </w:r>
          </w:p>
        </w:tc>
        <w:tc>
          <w:tcPr>
            <w:tcW w:type="dxa" w:w="36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left"/>
            </w:pPr>
            <w:r>
              <w:rPr>
                <w:rFonts w:ascii="Consolas" w:cs="Consolas" w:eastAsia="Consolas" w:hAnsi="Consolas"/>
                <w:b/>
                <w:bCs/>
                <w:color w:val="5C6862"/>
                <w:sz w:val="16"/>
                <w:szCs w:val="16"/>
              </w:rPr>
              <w:t xml:space="preserve">PLACED IN COCHRANE</w:t>
            </w:r>
          </w:p>
        </w:tc>
        <w:tc>
          <w:tcPr>
            <w:tcW w:type="dxa" w:w="36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left"/>
            </w:pPr>
            <w:r>
              <w:rPr>
                <w:rFonts w:ascii="Consolas" w:cs="Consolas" w:eastAsia="Consolas" w:hAnsi="Consolas"/>
                <w:b/>
                <w:bCs/>
                <w:color w:val="5C6862"/>
                <w:sz w:val="16"/>
                <w:szCs w:val="16"/>
              </w:rPr>
              <w:t xml:space="preserve">PLACED OUTSIDE COCHRANE</w:t>
            </w:r>
          </w:p>
        </w:tc>
      </w:tr>
      <w:tr>
        <w:tc>
          <w:tcPr>
            <w:tcW w:type="dxa" w:w="216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pPr>
            <w:r>
              <w:rPr>
                <w:rFonts w:ascii="Consolas" w:cs="Consolas" w:eastAsia="Consolas" w:hAnsi="Consolas"/>
                <w:b/>
                <w:bCs/>
                <w:color w:val="5C6862"/>
                <w:sz w:val="16"/>
                <w:szCs w:val="16"/>
              </w:rPr>
              <w:t xml:space="preserve">COCHRANE RESIDENT</w:t>
            </w:r>
          </w:p>
        </w:tc>
        <w:tc>
          <w:tcPr>
            <w:tcW w:type="dxa" w:w="3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60"/>
            </w:pPr>
            <w:r>
              <w:rPr>
                <w:rFonts w:ascii="Consolas" w:cs="Consolas" w:eastAsia="Consolas" w:hAnsi="Consolas"/>
                <w:b/>
                <w:bCs/>
                <w:color w:val="058C72"/>
                <w:sz w:val="32"/>
                <w:szCs w:val="32"/>
              </w:rPr>
              <w:t xml:space="preserve">A</w:t>
            </w:r>
          </w:p>
          <w:p>
            <w:pPr>
              <w:spacing w:after="60"/>
            </w:pPr>
            <w:r>
              <w:rPr>
                <w:rFonts w:ascii="Calibri" w:cs="Calibri" w:eastAsia="Calibri" w:hAnsi="Calibri"/>
                <w:sz w:val="19"/>
                <w:szCs w:val="19"/>
              </w:rPr>
              <w:t xml:space="preserve">Local need met locally. The share of the town’s own demand that Cochrane’s facilities absorbed.</w:t>
            </w:r>
          </w:p>
          <w:p>
            <w:r>
              <w:rPr>
                <w:rFonts w:ascii="Consolas" w:cs="Consolas" w:eastAsia="Consolas" w:hAnsi="Consolas"/>
                <w:color w:val="5C6862"/>
                <w:sz w:val="15"/>
                <w:szCs w:val="15"/>
              </w:rPr>
              <w:t xml:space="preserve">97 people  ·  30.6% of Town demand</w:t>
            </w:r>
          </w:p>
        </w:tc>
        <w:tc>
          <w:tcPr>
            <w:tcW w:type="dxa" w:w="3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60"/>
            </w:pPr>
            <w:r>
              <w:rPr>
                <w:rFonts w:ascii="Consolas" w:cs="Consolas" w:eastAsia="Consolas" w:hAnsi="Consolas"/>
                <w:b/>
                <w:bCs/>
                <w:color w:val="C4671A"/>
                <w:sz w:val="32"/>
                <w:szCs w:val="32"/>
              </w:rPr>
              <w:t xml:space="preserve">C</w:t>
            </w:r>
          </w:p>
          <w:p>
            <w:pPr>
              <w:spacing w:after="60"/>
            </w:pPr>
            <w:r>
              <w:rPr>
                <w:rFonts w:ascii="Calibri" w:cs="Calibri" w:eastAsia="Calibri" w:hAnsi="Calibri"/>
                <w:sz w:val="19"/>
                <w:szCs w:val="19"/>
              </w:rPr>
              <w:t xml:space="preserve">Local need served elsewhere. Residents who had to leave the town to receive care.</w:t>
            </w:r>
          </w:p>
          <w:p>
            <w:r>
              <w:rPr>
                <w:rFonts w:ascii="Consolas" w:cs="Consolas" w:eastAsia="Consolas" w:hAnsi="Consolas"/>
                <w:color w:val="5C6862"/>
                <w:sz w:val="15"/>
                <w:szCs w:val="15"/>
              </w:rPr>
              <w:t xml:space="preserve">220 people  ·  69.4% of Town demand</w:t>
            </w:r>
          </w:p>
        </w:tc>
      </w:tr>
      <w:tr>
        <w:tc>
          <w:tcPr>
            <w:tcW w:type="dxa" w:w="216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pPr>
            <w:r>
              <w:rPr>
                <w:rFonts w:ascii="Consolas" w:cs="Consolas" w:eastAsia="Consolas" w:hAnsi="Consolas"/>
                <w:b/>
                <w:bCs/>
                <w:color w:val="5C6862"/>
                <w:sz w:val="16"/>
                <w:szCs w:val="16"/>
              </w:rPr>
              <w:t xml:space="preserve">NOT A COCHRANE RESIDENT</w:t>
            </w:r>
          </w:p>
        </w:tc>
        <w:tc>
          <w:tcPr>
            <w:tcW w:type="dxa" w:w="3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60"/>
            </w:pPr>
            <w:r>
              <w:rPr>
                <w:rFonts w:ascii="Consolas" w:cs="Consolas" w:eastAsia="Consolas" w:hAnsi="Consolas"/>
                <w:b/>
                <w:bCs/>
                <w:color w:val="058C72"/>
                <w:sz w:val="32"/>
                <w:szCs w:val="32"/>
              </w:rPr>
              <w:t xml:space="preserve">B</w:t>
            </w:r>
          </w:p>
          <w:p>
            <w:pPr>
              <w:spacing w:after="60"/>
            </w:pPr>
            <w:r>
              <w:rPr>
                <w:rFonts w:ascii="Calibri" w:cs="Calibri" w:eastAsia="Calibri" w:hAnsi="Calibri"/>
                <w:sz w:val="19"/>
                <w:szCs w:val="19"/>
              </w:rPr>
              <w:t xml:space="preserve">Outside demand on local capacity. People from elsewhere occupying beds in Cochrane.</w:t>
            </w:r>
          </w:p>
          <w:p>
            <w:r>
              <w:rPr>
                <w:rFonts w:ascii="Consolas" w:cs="Consolas" w:eastAsia="Consolas" w:hAnsi="Consolas"/>
                <w:color w:val="5C6862"/>
                <w:sz w:val="15"/>
                <w:szCs w:val="15"/>
              </w:rPr>
              <w:t xml:space="preserve">189 people  ·  197 admissions</w:t>
            </w:r>
          </w:p>
        </w:tc>
        <w:tc>
          <w:tcPr>
            <w:tcW w:type="dxa" w:w="3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60"/>
            </w:pPr>
            <w:r>
              <w:rPr>
                <w:rFonts w:ascii="Consolas" w:cs="Consolas" w:eastAsia="Consolas" w:hAnsi="Consolas"/>
                <w:b/>
                <w:bCs/>
                <w:color w:val="8B958F"/>
                <w:sz w:val="32"/>
                <w:szCs w:val="32"/>
              </w:rPr>
              <w:t xml:space="preserve">—</w:t>
            </w:r>
          </w:p>
          <w:p>
            <w:pPr>
              <w:spacing w:after="60"/>
            </w:pPr>
            <w:r>
              <w:rPr>
                <w:rFonts w:ascii="Calibri" w:cs="Calibri" w:eastAsia="Calibri" w:hAnsi="Calibri"/>
                <w:color w:val="5C6862"/>
                <w:sz w:val="19"/>
                <w:szCs w:val="19"/>
              </w:rPr>
              <w:t xml:space="preserve">Out of scope. Bears on neither Cochrane demand nor Cochrane capacity.</w:t>
            </w:r>
          </w:p>
          <w:p>
            <w:r>
              <w:rPr>
                <w:rFonts w:ascii="Consolas" w:cs="Consolas" w:eastAsia="Consolas" w:hAnsi="Consolas"/>
                <w:color w:val="5C6862"/>
                <w:sz w:val="15"/>
                <w:szCs w:val="15"/>
              </w:rPr>
              <w:t xml:space="preserve">excluded</w:t>
            </w:r>
          </w:p>
        </w:tc>
      </w:tr>
    </w:tbl>
    <w:p>
      <w:pPr>
        <w:spacing w:after="1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8C72" w:sz="18"/>
              <w:bottom w:val="none" w:color="FFFFFF" w:sz="0"/>
              <w:right w:val="none" w:color="FFFFFF" w:sz="0"/>
            </w:tcBorders>
            <w:shd w:fill="EAF3F0" w:color="auto" w:val="clear"/>
            <w:tcMar>
              <w:top w:type="dxa" w:w="180"/>
              <w:left w:type="dxa" w:w="200"/>
              <w:bottom w:type="dxa" w:w="180"/>
              <w:right w:type="dxa" w:w="200"/>
            </w:tcMar>
          </w:tcPr>
          <w:p>
            <w:pPr>
              <w:spacing w:after="90"/>
            </w:pPr>
            <w:r>
              <w:rPr>
                <w:rFonts w:ascii="Consolas" w:cs="Consolas" w:eastAsia="Consolas" w:hAnsi="Consolas"/>
                <w:b/>
                <w:bCs/>
                <w:caps/>
                <w:color w:val="058C72"/>
                <w:spacing w:val="26"/>
                <w:sz w:val="16"/>
                <w:szCs w:val="16"/>
              </w:rPr>
              <w:t xml:space="preserve">Reading the arithmetic</w:t>
            </w:r>
          </w:p>
          <w:p>
            <w:pPr>
              <w:spacing w:after="90" w:line="276"/>
            </w:pPr>
            <w:r>
              <w:rPr>
                <w:rFonts w:ascii="Calibri" w:cs="Calibri" w:eastAsia="Calibri" w:hAnsi="Calibri"/>
                <w:b/>
                <w:bCs/>
                <w:color w:val="15201C"/>
                <w:sz w:val="21"/>
                <w:szCs w:val="21"/>
              </w:rPr>
              <w:t xml:space="preserve">A + C</w:t>
            </w:r>
            <w:r>
              <w:rPr>
                <w:rFonts w:ascii="Calibri" w:cs="Calibri" w:eastAsia="Calibri" w:hAnsi="Calibri"/>
                <w:color w:val="15201C"/>
                <w:sz w:val="21"/>
                <w:szCs w:val="21"/>
              </w:rPr>
              <w:t xml:space="preserve"> is total Town demand.  </w:t>
            </w:r>
            <w:r>
              <w:rPr>
                <w:rFonts w:ascii="Calibri" w:cs="Calibri" w:eastAsia="Calibri" w:hAnsi="Calibri"/>
                <w:b/>
                <w:bCs/>
                <w:color w:val="15201C"/>
                <w:sz w:val="21"/>
                <w:szCs w:val="21"/>
              </w:rPr>
              <w:t xml:space="preserve">A + B</w:t>
            </w:r>
            <w:r>
              <w:rPr>
                <w:rFonts w:ascii="Calibri" w:cs="Calibri" w:eastAsia="Calibri" w:hAnsi="Calibri"/>
                <w:color w:val="15201C"/>
                <w:sz w:val="21"/>
                <w:szCs w:val="21"/>
              </w:rPr>
              <w:t xml:space="preserve"> is total use of Cochrane’s capacity.  </w:t>
            </w:r>
            <w:r>
              <w:rPr>
                <w:rFonts w:ascii="Calibri" w:cs="Calibri" w:eastAsia="Calibri" w:hAnsi="Calibri"/>
                <w:b/>
                <w:bCs/>
                <w:color w:val="15201C"/>
                <w:sz w:val="21"/>
                <w:szCs w:val="21"/>
              </w:rPr>
              <w:t xml:space="preserve">C ÷ (A + C)</w:t>
            </w:r>
            <w:r>
              <w:rPr>
                <w:rFonts w:ascii="Calibri" w:cs="Calibri" w:eastAsia="Calibri" w:hAnsi="Calibri"/>
                <w:color w:val="15201C"/>
                <w:sz w:val="21"/>
                <w:szCs w:val="21"/>
              </w:rPr>
              <w:t xml:space="preserve"> is the share of local demand that left town.</w:t>
            </w:r>
          </w:p>
          <w:p>
            <w:pPr>
              <w:spacing w:after="90" w:line="276"/>
            </w:pPr>
            <w:r>
              <w:rPr>
                <w:rFonts w:ascii="Calibri" w:cs="Calibri" w:eastAsia="Calibri" w:hAnsi="Calibri"/>
                <w:color w:val="15201C"/>
                <w:sz w:val="21"/>
                <w:szCs w:val="21"/>
              </w:rPr>
              <w:t xml:space="preserve">Demand is counted per </w:t>
            </w:r>
            <w:r>
              <w:rPr>
                <w:rFonts w:ascii="Calibri" w:cs="Calibri" w:eastAsia="Calibri" w:hAnsi="Calibri"/>
                <w:i/>
                <w:iCs/>
                <w:color w:val="15201C"/>
                <w:sz w:val="21"/>
                <w:szCs w:val="21"/>
              </w:rPr>
              <w:t xml:space="preserve">person</w:t>
            </w:r>
            <w:r>
              <w:rPr>
                <w:rFonts w:ascii="Calibri" w:cs="Calibri" w:eastAsia="Calibri" w:hAnsi="Calibri"/>
                <w:color w:val="15201C"/>
                <w:sz w:val="21"/>
                <w:szCs w:val="21"/>
              </w:rPr>
              <w:t xml:space="preserve">, on their first-ever placement — did the need get met locally the first time it arose. Capacity use is counted per </w:t>
            </w:r>
            <w:r>
              <w:rPr>
                <w:rFonts w:ascii="Calibri" w:cs="Calibri" w:eastAsia="Calibri" w:hAnsi="Calibri"/>
                <w:i/>
                <w:iCs/>
                <w:color w:val="15201C"/>
                <w:sz w:val="21"/>
                <w:szCs w:val="21"/>
              </w:rPr>
              <w:t xml:space="preserve">admission</w:t>
            </w:r>
            <w:r>
              <w:rPr>
                <w:rFonts w:ascii="Calibri" w:cs="Calibri" w:eastAsia="Calibri" w:hAnsi="Calibri"/>
                <w:color w:val="15201C"/>
                <w:sz w:val="21"/>
                <w:szCs w:val="21"/>
              </w:rPr>
              <w:t xml:space="preserve">, because each one occupies a bed. Person counts must never be summed across years; the same individual recurs.</w:t>
            </w:r>
          </w:p>
        </w:tc>
      </w:tr>
    </w:tbl>
    <w:p>
      <w:pPr>
        <w:pStyle w:val="Heading1"/>
        <w:pBdr>
          <w:bottom w:val="single" w:color="058C72" w:sz="8"/>
        </w:pBdr>
        <w:spacing w:after="160" w:before="420"/>
      </w:pPr>
      <w:r>
        <w:rPr>
          <w:rFonts w:ascii="Consolas" w:cs="Consolas" w:eastAsia="Consolas" w:hAnsi="Consolas"/>
          <w:b/>
          <w:bCs/>
          <w:color w:val="058C72"/>
          <w:sz w:val="20"/>
          <w:szCs w:val="20"/>
        </w:rPr>
        <w:t xml:space="preserve">04   </w:t>
      </w:r>
      <w:r>
        <w:rPr>
          <w:rFonts w:ascii="Georgia" w:cs="Georgia" w:eastAsia="Georgia" w:hAnsi="Georgia"/>
          <w:b/>
          <w:bCs/>
          <w:color w:val="15201C"/>
          <w:sz w:val="30"/>
          <w:szCs w:val="30"/>
        </w:rPr>
        <w:t xml:space="preserve">Local demand and where it went</w:t>
      </w:r>
    </w:p>
    <w:p>
      <w:pPr>
        <w:spacing w:after="140" w:before="0" w:line="276"/>
      </w:pPr>
      <w:r>
        <w:rPr>
          <w:rFonts w:ascii="Calibri" w:cs="Calibri" w:eastAsia="Calibri" w:hAnsi="Calibri"/>
          <w:color w:val="15201C"/>
          <w:sz w:val="22"/>
          <w:szCs w:val="22"/>
        </w:rPr>
        <w:t xml:space="preserve">Of 317 Town of Cochrane residents who entered residential continuing care over the five years, 97 were placed in Cochrane and 220 were placed elsewhere. The gap is far wider for long-term care than for supportive living.</w:t>
      </w:r>
    </w:p>
    <w:p>
      <w:pPr>
        <w:spacing w:after="30" w:before="340"/>
      </w:pPr>
      <w:r>
        <w:rPr>
          <w:rFonts w:ascii="Calibri" w:cs="Calibri" w:eastAsia="Calibri" w:hAnsi="Calibri"/>
          <w:b/>
          <w:bCs/>
          <w:color w:val="15201C"/>
          <w:sz w:val="22"/>
          <w:szCs w:val="22"/>
        </w:rPr>
        <w:t xml:space="preserve">First placement of Town of Cochrane residents, by care type</w:t>
      </w:r>
    </w:p>
    <w:p>
      <w:pPr>
        <w:spacing w:after="150"/>
      </w:pPr>
      <w:r>
        <w:rPr>
          <w:rFonts w:ascii="Calibri" w:cs="Calibri" w:eastAsia="Calibri" w:hAnsi="Calibri"/>
          <w:color w:val="5C6862"/>
          <w:sz w:val="19"/>
          <w:szCs w:val="19"/>
        </w:rPr>
        <w:t xml:space="preserve">People, FY2022–26. First-ever residential placement.</w:t>
      </w:r>
    </w:p>
    <w:p>
      <w:pPr>
        <w:spacing w:after="150"/>
      </w:pPr>
      <w:r>
        <w:rPr>
          <w:rFonts w:ascii="Calibri" w:cs="Calibri" w:eastAsia="Calibri" w:hAnsi="Calibri"/>
          <w:color w:val="058C72"/>
          <w:sz w:val="22"/>
          <w:szCs w:val="22"/>
        </w:rPr>
        <w:t xml:space="preserve">■ </w:t>
      </w:r>
      <w:r>
        <w:rPr>
          <w:rFonts w:ascii="Calibri" w:cs="Calibri" w:eastAsia="Calibri" w:hAnsi="Calibri"/>
          <w:color w:val="15201C"/>
          <w:sz w:val="19"/>
          <w:szCs w:val="19"/>
        </w:rPr>
        <w:t xml:space="preserve">Placed in Cochrane    </w:t>
      </w:r>
      <w:r>
        <w:rPr>
          <w:rFonts w:ascii="Calibri" w:cs="Calibri" w:eastAsia="Calibri" w:hAnsi="Calibri"/>
          <w:color w:val="C4671A"/>
          <w:sz w:val="22"/>
          <w:szCs w:val="22"/>
        </w:rPr>
        <w:t xml:space="preserve">■ </w:t>
      </w:r>
      <w:r>
        <w:rPr>
          <w:rFonts w:ascii="Calibri" w:cs="Calibri" w:eastAsia="Calibri" w:hAnsi="Calibri"/>
          <w:color w:val="15201C"/>
          <w:sz w:val="19"/>
          <w:szCs w:val="19"/>
        </w:rPr>
        <w:t xml:space="preserve">Placed outside Cochrane    </w:t>
      </w:r>
    </w:p>
    <w:p>
      <w:pPr>
        <w:tabs>
          <w:tab w:val="right" w:pos="9360"/>
        </w:tabs>
        <w:spacing w:after="60" w:before="200"/>
      </w:pPr>
      <w:r>
        <w:rPr>
          <w:rFonts w:ascii="Calibri" w:cs="Calibri" w:eastAsia="Calibri" w:hAnsi="Calibri"/>
          <w:b/>
          <w:bCs/>
          <w:color w:val="15201C"/>
          <w:sz w:val="21"/>
          <w:szCs w:val="21"/>
        </w:rPr>
        <w:t xml:space="preserve">Type A — long-term care</w:t>
      </w:r>
      <w:r>
        <w:rPr>
          <w:rFonts w:ascii="Calibri" w:cs="Calibri" w:eastAsia="Calibri" w:hAnsi="Calibri"/>
          <w:color w:val="5C6862"/>
          <w:sz w:val="18"/>
          <w:szCs w:val="18"/>
        </w:rPr>
        <w:t xml:space="preserve">   Bethany Cochrane is the only local Type A site</w:t>
      </w:r>
      <w:r>
        <w:rPr>
          <w:rFonts w:ascii="Consolas" w:cs="Consolas" w:eastAsia="Consolas" w:hAnsi="Consolas"/>
          <w:color w:val="5C6862"/>
          <w:sz w:val="17"/>
          <w:szCs w:val="17"/>
        </w:rPr>
        <w:t xml:space="preserve">	165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23"/>
        <w:gridCol w:w="7937"/>
      </w:tblGrid>
      <w:tr>
        <w:tc>
          <w:tcPr>
            <w:tcW w:type="dxa" w:w="1423"/>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25</w:t>
            </w:r>
          </w:p>
        </w:tc>
        <w:tc>
          <w:tcPr>
            <w:tcW w:type="dxa" w:w="7937"/>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140  ·  84.8% placed outside Cochrane</w:t>
            </w:r>
          </w:p>
        </w:tc>
      </w:tr>
    </w:tbl>
    <w:p>
      <w:pPr>
        <w:tabs>
          <w:tab w:val="right" w:pos="9360"/>
        </w:tabs>
        <w:spacing w:after="60" w:before="200"/>
      </w:pPr>
      <w:r>
        <w:rPr>
          <w:rFonts w:ascii="Calibri" w:cs="Calibri" w:eastAsia="Calibri" w:hAnsi="Calibri"/>
          <w:b/>
          <w:bCs/>
          <w:color w:val="15201C"/>
          <w:sz w:val="21"/>
          <w:szCs w:val="21"/>
        </w:rPr>
        <w:t xml:space="preserve">Type B — supportive living</w:t>
      </w:r>
      <w:r>
        <w:rPr>
          <w:rFonts w:ascii="Calibri" w:cs="Calibri" w:eastAsia="Calibri" w:hAnsi="Calibri"/>
          <w:color w:val="5C6862"/>
          <w:sz w:val="18"/>
          <w:szCs w:val="18"/>
        </w:rPr>
        <w:t xml:space="preserve">   Hawthorne provides local Type B capacity</w:t>
      </w:r>
      <w:r>
        <w:rPr>
          <w:rFonts w:ascii="Consolas" w:cs="Consolas" w:eastAsia="Consolas" w:hAnsi="Consolas"/>
          <w:color w:val="5C6862"/>
          <w:sz w:val="17"/>
          <w:szCs w:val="17"/>
        </w:rPr>
        <w:t xml:space="preserve">	152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37"/>
        <w:gridCol w:w="4923"/>
      </w:tblGrid>
      <w:tr>
        <w:tc>
          <w:tcPr>
            <w:tcW w:type="dxa" w:w="4437"/>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72  ·  47.4%</w:t>
            </w:r>
          </w:p>
        </w:tc>
        <w:tc>
          <w:tcPr>
            <w:tcW w:type="dxa" w:w="4923"/>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80  ·  52.6%</w:t>
            </w:r>
          </w:p>
        </w:tc>
      </w:tr>
    </w:tbl>
    <w:p>
      <w:pPr>
        <w:tabs>
          <w:tab w:val="right" w:pos="9360"/>
        </w:tabs>
        <w:spacing w:after="60" w:before="200"/>
      </w:pPr>
      <w:r>
        <w:rPr>
          <w:rFonts w:ascii="Calibri" w:cs="Calibri" w:eastAsia="Calibri" w:hAnsi="Calibri"/>
          <w:b/>
          <w:bCs/>
          <w:color w:val="15201C"/>
          <w:sz w:val="21"/>
          <w:szCs w:val="21"/>
        </w:rPr>
        <w:t xml:space="preserve">All care types</w:t>
      </w:r>
      <w:r>
        <w:rPr>
          <w:rFonts w:ascii="Consolas" w:cs="Consolas" w:eastAsia="Consolas" w:hAnsi="Consolas"/>
          <w:color w:val="5C6862"/>
          <w:sz w:val="17"/>
          <w:szCs w:val="17"/>
        </w:rPr>
        <w:t xml:space="preserve">	317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4"/>
        <w:gridCol w:w="6496"/>
      </w:tblGrid>
      <w:tr>
        <w:tc>
          <w:tcPr>
            <w:tcW w:type="dxa" w:w="2864"/>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97  ·  30.6%</w:t>
            </w:r>
          </w:p>
        </w:tc>
        <w:tc>
          <w:tcPr>
            <w:tcW w:type="dxa" w:w="6496"/>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220  ·  69.4%</w:t>
            </w:r>
          </w:p>
        </w:tc>
      </w:tr>
    </w:tbl>
    <w:p>
      <w:pPr>
        <w:spacing w:after="220" w:before="110"/>
      </w:pPr>
      <w:r>
        <w:rPr>
          <w:rFonts w:ascii="Calibri" w:cs="Calibri" w:eastAsia="Calibri" w:hAnsi="Calibri"/>
          <w:i w:val="false"/>
          <w:iCs w:val="false"/>
          <w:color w:val="5C6862"/>
          <w:sz w:val="18"/>
          <w:szCs w:val="18"/>
        </w:rPr>
        <w:t xml:space="preserve">Where local capacity exists at the right care level, roughly half of local demand is met locally. Where it does not, almost none is. Bethany Cochrane absorbed 25 of 165 Town residents needing long-term care.</w:t>
      </w:r>
    </w:p>
    <w:p>
      <w:pPr>
        <w:spacing w:after="30" w:before="340"/>
      </w:pPr>
      <w:r>
        <w:rPr>
          <w:rFonts w:ascii="Calibri" w:cs="Calibri" w:eastAsia="Calibri" w:hAnsi="Calibri"/>
          <w:b/>
          <w:bCs/>
          <w:color w:val="15201C"/>
          <w:sz w:val="22"/>
          <w:szCs w:val="22"/>
        </w:rPr>
        <w:t xml:space="preserve">Share of Town residents placed outside Cochrane, by fiscal year</w:t>
      </w:r>
    </w:p>
    <w:p>
      <w:pPr>
        <w:spacing w:after="150"/>
      </w:pPr>
      <w:r>
        <w:rPr>
          <w:rFonts w:ascii="Calibri" w:cs="Calibri" w:eastAsia="Calibri" w:hAnsi="Calibri"/>
          <w:color w:val="5C6862"/>
          <w:sz w:val="19"/>
          <w:szCs w:val="19"/>
        </w:rPr>
        <w:t xml:space="preserve">Fiscal years ending 31 March.</w:t>
      </w:r>
    </w:p>
    <w:p>
      <w:pPr>
        <w:spacing w:after="150"/>
      </w:pPr>
      <w:r>
        <w:rPr>
          <w:rFonts w:ascii="Calibri" w:cs="Calibri" w:eastAsia="Calibri" w:hAnsi="Calibri"/>
          <w:color w:val="058C72"/>
          <w:sz w:val="22"/>
          <w:szCs w:val="22"/>
        </w:rPr>
        <w:t xml:space="preserve">■ </w:t>
      </w:r>
      <w:r>
        <w:rPr>
          <w:rFonts w:ascii="Calibri" w:cs="Calibri" w:eastAsia="Calibri" w:hAnsi="Calibri"/>
          <w:color w:val="15201C"/>
          <w:sz w:val="19"/>
          <w:szCs w:val="19"/>
        </w:rPr>
        <w:t xml:space="preserve">Placed in Cochrane    </w:t>
      </w:r>
      <w:r>
        <w:rPr>
          <w:rFonts w:ascii="Calibri" w:cs="Calibri" w:eastAsia="Calibri" w:hAnsi="Calibri"/>
          <w:color w:val="C4671A"/>
          <w:sz w:val="22"/>
          <w:szCs w:val="22"/>
        </w:rPr>
        <w:t xml:space="preserve">■ </w:t>
      </w:r>
      <w:r>
        <w:rPr>
          <w:rFonts w:ascii="Calibri" w:cs="Calibri" w:eastAsia="Calibri" w:hAnsi="Calibri"/>
          <w:color w:val="15201C"/>
          <w:sz w:val="19"/>
          <w:szCs w:val="19"/>
        </w:rPr>
        <w:t xml:space="preserve">Placed outside Cochrane    </w:t>
      </w:r>
    </w:p>
    <w:p>
      <w:pPr>
        <w:tabs>
          <w:tab w:val="right" w:pos="9360"/>
        </w:tabs>
        <w:spacing w:after="60" w:before="200"/>
      </w:pPr>
      <w:r>
        <w:rPr>
          <w:rFonts w:ascii="Calibri" w:cs="Calibri" w:eastAsia="Calibri" w:hAnsi="Calibri"/>
          <w:b/>
          <w:bCs/>
          <w:color w:val="15201C"/>
          <w:sz w:val="21"/>
          <w:szCs w:val="21"/>
        </w:rPr>
        <w:t xml:space="preserve">FY 2022</w:t>
      </w:r>
      <w:r>
        <w:rPr>
          <w:rFonts w:ascii="Consolas" w:cs="Consolas" w:eastAsia="Consolas" w:hAnsi="Consolas"/>
          <w:color w:val="5C6862"/>
          <w:sz w:val="17"/>
          <w:szCs w:val="17"/>
        </w:rPr>
        <w:t xml:space="preserve">	55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29"/>
        <w:gridCol w:w="6131"/>
      </w:tblGrid>
      <w:tr>
        <w:tc>
          <w:tcPr>
            <w:tcW w:type="dxa" w:w="3229"/>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19</w:t>
            </w:r>
          </w:p>
        </w:tc>
        <w:tc>
          <w:tcPr>
            <w:tcW w:type="dxa" w:w="6131"/>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36  ·  65.5%</w:t>
            </w:r>
          </w:p>
        </w:tc>
      </w:tr>
    </w:tbl>
    <w:p>
      <w:pPr>
        <w:tabs>
          <w:tab w:val="right" w:pos="9360"/>
        </w:tabs>
        <w:spacing w:after="60" w:before="200"/>
      </w:pPr>
      <w:r>
        <w:rPr>
          <w:rFonts w:ascii="Calibri" w:cs="Calibri" w:eastAsia="Calibri" w:hAnsi="Calibri"/>
          <w:b/>
          <w:bCs/>
          <w:color w:val="15201C"/>
          <w:sz w:val="21"/>
          <w:szCs w:val="21"/>
        </w:rPr>
        <w:t xml:space="preserve">FY 2023</w:t>
      </w:r>
      <w:r>
        <w:rPr>
          <w:rFonts w:ascii="Consolas" w:cs="Consolas" w:eastAsia="Consolas" w:hAnsi="Consolas"/>
          <w:color w:val="5C6862"/>
          <w:sz w:val="17"/>
          <w:szCs w:val="17"/>
        </w:rPr>
        <w:t xml:space="preserve">	56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2"/>
        <w:gridCol w:w="6018"/>
      </w:tblGrid>
      <w:tr>
        <w:tc>
          <w:tcPr>
            <w:tcW w:type="dxa" w:w="3342"/>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20</w:t>
            </w:r>
          </w:p>
        </w:tc>
        <w:tc>
          <w:tcPr>
            <w:tcW w:type="dxa" w:w="6018"/>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36  ·  64.3%</w:t>
            </w:r>
          </w:p>
        </w:tc>
      </w:tr>
    </w:tbl>
    <w:p>
      <w:pPr>
        <w:tabs>
          <w:tab w:val="right" w:pos="9360"/>
        </w:tabs>
        <w:spacing w:after="60" w:before="200"/>
      </w:pPr>
      <w:r>
        <w:rPr>
          <w:rFonts w:ascii="Calibri" w:cs="Calibri" w:eastAsia="Calibri" w:hAnsi="Calibri"/>
          <w:b/>
          <w:bCs/>
          <w:color w:val="15201C"/>
          <w:sz w:val="21"/>
          <w:szCs w:val="21"/>
        </w:rPr>
        <w:t xml:space="preserve">FY 2024</w:t>
      </w:r>
      <w:r>
        <w:rPr>
          <w:rFonts w:ascii="Consolas" w:cs="Consolas" w:eastAsia="Consolas" w:hAnsi="Consolas"/>
          <w:color w:val="5C6862"/>
          <w:sz w:val="17"/>
          <w:szCs w:val="17"/>
        </w:rPr>
        <w:t xml:space="preserve">	70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79"/>
        <w:gridCol w:w="6281"/>
      </w:tblGrid>
      <w:tr>
        <w:tc>
          <w:tcPr>
            <w:tcW w:type="dxa" w:w="3079"/>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23</w:t>
            </w:r>
          </w:p>
        </w:tc>
        <w:tc>
          <w:tcPr>
            <w:tcW w:type="dxa" w:w="6281"/>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47  ·  67.1%</w:t>
            </w:r>
          </w:p>
        </w:tc>
      </w:tr>
    </w:tbl>
    <w:p>
      <w:pPr>
        <w:tabs>
          <w:tab w:val="right" w:pos="9360"/>
        </w:tabs>
        <w:spacing w:after="60" w:before="200"/>
      </w:pPr>
      <w:r>
        <w:rPr>
          <w:rFonts w:ascii="Calibri" w:cs="Calibri" w:eastAsia="Calibri" w:hAnsi="Calibri"/>
          <w:b/>
          <w:bCs/>
          <w:color w:val="15201C"/>
          <w:sz w:val="21"/>
          <w:szCs w:val="21"/>
        </w:rPr>
        <w:t xml:space="preserve">FY 2025</w:t>
      </w:r>
      <w:r>
        <w:rPr>
          <w:rFonts w:ascii="Consolas" w:cs="Consolas" w:eastAsia="Consolas" w:hAnsi="Consolas"/>
          <w:color w:val="5C6862"/>
          <w:sz w:val="17"/>
          <w:szCs w:val="17"/>
        </w:rPr>
        <w:t xml:space="preserve">	68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9"/>
        <w:gridCol w:w="7291"/>
      </w:tblGrid>
      <w:tr>
        <w:tc>
          <w:tcPr>
            <w:tcW w:type="dxa" w:w="2069"/>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15</w:t>
            </w:r>
          </w:p>
        </w:tc>
        <w:tc>
          <w:tcPr>
            <w:tcW w:type="dxa" w:w="7291"/>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53  ·  77.9%</w:t>
            </w:r>
          </w:p>
        </w:tc>
      </w:tr>
    </w:tbl>
    <w:p>
      <w:pPr>
        <w:tabs>
          <w:tab w:val="right" w:pos="9360"/>
        </w:tabs>
        <w:spacing w:after="60" w:before="200"/>
      </w:pPr>
      <w:r>
        <w:rPr>
          <w:rFonts w:ascii="Calibri" w:cs="Calibri" w:eastAsia="Calibri" w:hAnsi="Calibri"/>
          <w:b/>
          <w:bCs/>
          <w:color w:val="15201C"/>
          <w:sz w:val="21"/>
          <w:szCs w:val="21"/>
        </w:rPr>
        <w:t xml:space="preserve">FY 2026</w:t>
      </w:r>
      <w:r>
        <w:rPr>
          <w:rFonts w:ascii="Consolas" w:cs="Consolas" w:eastAsia="Consolas" w:hAnsi="Consolas"/>
          <w:color w:val="5C6862"/>
          <w:sz w:val="17"/>
          <w:szCs w:val="17"/>
        </w:rPr>
        <w:t xml:space="preserve">	68 people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c>
          <w:tcPr>
            <w:tcW w:type="dxa" w:w="2752"/>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20</w:t>
            </w:r>
          </w:p>
        </w:tc>
        <w:tc>
          <w:tcPr>
            <w:tcW w:type="dxa" w:w="6608"/>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48  ·  70.6%</w:t>
            </w:r>
          </w:p>
        </w:tc>
      </w:tr>
    </w:tbl>
    <w:p>
      <w:pPr>
        <w:spacing w:after="220" w:before="110"/>
      </w:pPr>
      <w:r>
        <w:rPr>
          <w:rFonts w:ascii="Calibri" w:cs="Calibri" w:eastAsia="Calibri" w:hAnsi="Calibri"/>
          <w:i w:val="false"/>
          <w:iCs w:val="false"/>
          <w:color w:val="5C6862"/>
          <w:sz w:val="18"/>
          <w:szCs w:val="18"/>
        </w:rPr>
        <w:t xml:space="preserve">Between 64% and 78% every year. FY2025 is the weakest year but sits alone; the honest description is a persistent two-thirds to three-quarters, not a deteriorating trend. Annual volume rose from 55 to 68.</w:t>
      </w:r>
    </w:p>
    <w:p>
      <w:pPr>
        <w:pStyle w:val="Heading1"/>
        <w:pBdr>
          <w:bottom w:val="single" w:color="058C72" w:sz="8"/>
        </w:pBdr>
        <w:spacing w:after="160" w:before="420"/>
      </w:pPr>
      <w:r>
        <w:rPr>
          <w:rFonts w:ascii="Consolas" w:cs="Consolas" w:eastAsia="Consolas" w:hAnsi="Consolas"/>
          <w:b/>
          <w:bCs/>
          <w:color w:val="058C72"/>
          <w:sz w:val="20"/>
          <w:szCs w:val="20"/>
        </w:rPr>
        <w:t xml:space="preserve">05   </w:t>
      </w:r>
      <w:r>
        <w:rPr>
          <w:rFonts w:ascii="Georgia" w:cs="Georgia" w:eastAsia="Georgia" w:hAnsi="Georgia"/>
          <w:b/>
          <w:bCs/>
          <w:color w:val="15201C"/>
          <w:sz w:val="30"/>
          <w:szCs w:val="30"/>
        </w:rPr>
        <w:t xml:space="preserve">Who occupies Cochrane’s beds</w:t>
      </w:r>
    </w:p>
    <w:p>
      <w:pPr>
        <w:spacing w:after="140" w:before="0" w:line="276"/>
      </w:pPr>
      <w:r>
        <w:rPr>
          <w:rFonts w:ascii="Calibri" w:cs="Calibri" w:eastAsia="Calibri" w:hAnsi="Calibri"/>
          <w:color w:val="15201C"/>
          <w:sz w:val="22"/>
          <w:szCs w:val="22"/>
        </w:rPr>
        <w:t xml:space="preserve">The same five years produced 344 admissions into Cochrane’s Type A and Type B facilities. Fewer than half went to people who were Cochrane-area residents when they entered care.</w:t>
      </w:r>
    </w:p>
    <w:p>
      <w:pPr>
        <w:spacing w:after="30" w:before="340"/>
      </w:pPr>
      <w:r>
        <w:rPr>
          <w:rFonts w:ascii="Calibri" w:cs="Calibri" w:eastAsia="Calibri" w:hAnsi="Calibri"/>
          <w:b/>
          <w:bCs/>
          <w:color w:val="15201C"/>
          <w:sz w:val="22"/>
          <w:szCs w:val="22"/>
        </w:rPr>
        <w:t xml:space="preserve">Admissions into Cochrane facilities, by residence at entry to care</w:t>
      </w:r>
    </w:p>
    <w:p>
      <w:pPr>
        <w:spacing w:after="150"/>
      </w:pPr>
      <w:r>
        <w:rPr>
          <w:rFonts w:ascii="Calibri" w:cs="Calibri" w:eastAsia="Calibri" w:hAnsi="Calibri"/>
          <w:color w:val="5C6862"/>
          <w:sz w:val="19"/>
          <w:szCs w:val="19"/>
        </w:rPr>
        <w:t xml:space="preserve">344 admissions, FY2022–26.</w:t>
      </w:r>
    </w:p>
    <w:p>
      <w:pPr>
        <w:spacing w:after="150"/>
      </w:pPr>
      <w:r>
        <w:rPr>
          <w:rFonts w:ascii="Calibri" w:cs="Calibri" w:eastAsia="Calibri" w:hAnsi="Calibri"/>
          <w:color w:val="058C72"/>
          <w:sz w:val="22"/>
          <w:szCs w:val="22"/>
        </w:rPr>
        <w:t xml:space="preserve">■ </w:t>
      </w:r>
      <w:r>
        <w:rPr>
          <w:rFonts w:ascii="Calibri" w:cs="Calibri" w:eastAsia="Calibri" w:hAnsi="Calibri"/>
          <w:color w:val="15201C"/>
          <w:sz w:val="19"/>
          <w:szCs w:val="19"/>
        </w:rPr>
        <w:t xml:space="preserve">Cochrane-area resident    </w:t>
      </w:r>
      <w:r>
        <w:rPr>
          <w:rFonts w:ascii="Calibri" w:cs="Calibri" w:eastAsia="Calibri" w:hAnsi="Calibri"/>
          <w:color w:val="C4671A"/>
          <w:sz w:val="22"/>
          <w:szCs w:val="22"/>
        </w:rPr>
        <w:t xml:space="preserve">■ </w:t>
      </w:r>
      <w:r>
        <w:rPr>
          <w:rFonts w:ascii="Calibri" w:cs="Calibri" w:eastAsia="Calibri" w:hAnsi="Calibri"/>
          <w:color w:val="15201C"/>
          <w:sz w:val="19"/>
          <w:szCs w:val="19"/>
        </w:rPr>
        <w:t xml:space="preserve">Non-resident    </w:t>
      </w:r>
    </w:p>
    <w:p>
      <w:pPr>
        <w:tabs>
          <w:tab w:val="right" w:pos="9360"/>
        </w:tabs>
        <w:spacing w:after="60" w:before="200"/>
      </w:pPr>
      <w:r>
        <w:rPr>
          <w:rFonts w:ascii="Calibri" w:cs="Calibri" w:eastAsia="Calibri" w:hAnsi="Calibri"/>
          <w:b/>
          <w:bCs/>
          <w:color w:val="15201C"/>
          <w:sz w:val="21"/>
          <w:szCs w:val="21"/>
        </w:rPr>
        <w:t xml:space="preserve">All Cochrane placements</w:t>
      </w:r>
      <w:r>
        <w:rPr>
          <w:rFonts w:ascii="Consolas" w:cs="Consolas" w:eastAsia="Consolas" w:hAnsi="Consolas"/>
          <w:color w:val="5C6862"/>
          <w:sz w:val="17"/>
          <w:szCs w:val="17"/>
        </w:rPr>
        <w:t xml:space="preserve">	344 admissions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9"/>
        <w:gridCol w:w="5391"/>
      </w:tblGrid>
      <w:tr>
        <w:tc>
          <w:tcPr>
            <w:tcW w:type="dxa" w:w="3969"/>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146  ·  42.4%</w:t>
            </w:r>
          </w:p>
        </w:tc>
        <w:tc>
          <w:tcPr>
            <w:tcW w:type="dxa" w:w="5391"/>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198  ·  57.6% non-resident or unresolved</w:t>
            </w:r>
          </w:p>
        </w:tc>
      </w:tr>
    </w:tbl>
    <w:p>
      <w:pPr>
        <w:tabs>
          <w:tab w:val="right" w:pos="9360"/>
        </w:tabs>
        <w:spacing w:after="60" w:before="200"/>
      </w:pPr>
      <w:r>
        <w:rPr>
          <w:rFonts w:ascii="Calibri" w:cs="Calibri" w:eastAsia="Calibri" w:hAnsi="Calibri"/>
          <w:b/>
          <w:bCs/>
          <w:color w:val="15201C"/>
          <w:sz w:val="21"/>
          <w:szCs w:val="21"/>
        </w:rPr>
        <w:t xml:space="preserve">Type A — Bethany Cochrane</w:t>
      </w:r>
      <w:r>
        <w:rPr>
          <w:rFonts w:ascii="Consolas" w:cs="Consolas" w:eastAsia="Consolas" w:hAnsi="Consolas"/>
          <w:color w:val="5C6862"/>
          <w:sz w:val="17"/>
          <w:szCs w:val="17"/>
        </w:rPr>
        <w:t xml:space="preserve">	133 admissions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96"/>
        <w:gridCol w:w="5064"/>
      </w:tblGrid>
      <w:tr>
        <w:tc>
          <w:tcPr>
            <w:tcW w:type="dxa" w:w="4296"/>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61  ·  45.9%</w:t>
            </w:r>
          </w:p>
        </w:tc>
        <w:tc>
          <w:tcPr>
            <w:tcW w:type="dxa" w:w="5064"/>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72  ·  54.1%</w:t>
            </w:r>
          </w:p>
        </w:tc>
      </w:tr>
    </w:tbl>
    <w:p>
      <w:pPr>
        <w:tabs>
          <w:tab w:val="right" w:pos="9360"/>
        </w:tabs>
        <w:spacing w:after="60" w:before="200"/>
      </w:pPr>
      <w:r>
        <w:rPr>
          <w:rFonts w:ascii="Calibri" w:cs="Calibri" w:eastAsia="Calibri" w:hAnsi="Calibri"/>
          <w:b/>
          <w:bCs/>
          <w:color w:val="15201C"/>
          <w:sz w:val="21"/>
          <w:szCs w:val="21"/>
        </w:rPr>
        <w:t xml:space="preserve">Type B — Hawthorne</w:t>
      </w:r>
      <w:r>
        <w:rPr>
          <w:rFonts w:ascii="Consolas" w:cs="Consolas" w:eastAsia="Consolas" w:hAnsi="Consolas"/>
          <w:color w:val="5C6862"/>
          <w:sz w:val="17"/>
          <w:szCs w:val="17"/>
        </w:rPr>
        <w:t xml:space="preserve">	211 admissions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72"/>
        <w:gridCol w:w="5588"/>
      </w:tblGrid>
      <w:tr>
        <w:tc>
          <w:tcPr>
            <w:tcW w:type="dxa" w:w="3772"/>
            <w:tcBorders>
              <w:top w:val="none" w:color="FFFFFF" w:sz="0"/>
              <w:left w:val="none" w:color="FFFFFF" w:sz="0"/>
              <w:bottom w:val="none" w:color="FFFFFF" w:sz="0"/>
              <w:right w:val="none" w:color="FFFFFF" w:sz="0"/>
            </w:tcBorders>
            <w:shd w:fill="058C72"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85  ·  40.3%</w:t>
            </w:r>
          </w:p>
        </w:tc>
        <w:tc>
          <w:tcPr>
            <w:tcW w:type="dxa" w:w="5588"/>
            <w:tcBorders>
              <w:top w:val="none" w:color="FFFFFF" w:sz="0"/>
              <w:left w:val="single" w:color="FFFFFF" w:sz="4"/>
              <w:bottom w:val="none" w:color="FFFFFF" w:sz="0"/>
              <w:right w:val="none" w:color="FFFFFF" w:sz="0"/>
            </w:tcBorders>
            <w:shd w:fill="C4671A" w:color="auto" w:val="clear"/>
            <w:tcMar>
              <w:top w:type="dxa" w:w="70"/>
              <w:left w:type="dxa" w:w="110"/>
              <w:bottom w:type="dxa" w:w="70"/>
              <w:right w:type="dxa" w:w="110"/>
            </w:tcMar>
          </w:tcPr>
          <w:p>
            <w:pPr>
              <w:spacing w:after="0" w:line="240"/>
            </w:pPr>
            <w:r>
              <w:rPr>
                <w:rFonts w:ascii="Consolas" w:cs="Consolas" w:eastAsia="Consolas" w:hAnsi="Consolas"/>
                <w:b/>
                <w:bCs/>
                <w:color w:val="FFFFFF"/>
                <w:sz w:val="17"/>
                <w:szCs w:val="17"/>
              </w:rPr>
              <w:t xml:space="preserve">126  ·  59.7%</w:t>
            </w:r>
          </w:p>
        </w:tc>
      </w:tr>
    </w:tbl>
    <w:p>
      <w:pPr>
        <w:spacing w:after="220" w:before="110"/>
      </w:pPr>
      <w:r>
        <w:rPr>
          <w:rFonts w:ascii="Calibri" w:cs="Calibri" w:eastAsia="Calibri" w:hAnsi="Calibri"/>
          <w:i w:val="false"/>
          <w:iCs w:val="false"/>
          <w:color w:val="5C6862"/>
          <w:sz w:val="18"/>
          <w:szCs w:val="18"/>
        </w:rPr>
        <w:t xml:space="preserve">Cochrane-area combines Town residents (140 admissions) and catchment residents from Springbank and rural Rocky View (6). One admission has unresolved residence. Counted as people rather than admissions: 133 Town, 6 catchment, 189 non-resident.</w:t>
      </w:r>
    </w:p>
    <w:p>
      <w:pPr>
        <w:spacing w:after="120"/>
      </w:pPr>
      <w:r>
        <w:rPr>
          <w:sz w:val="2"/>
          <w:szCs w:val="2"/>
        </w:rPr>
        <w:t xml:space="preserve"/>
      </w:r>
    </w:p>
    <w:p>
      <w:pPr>
        <w:pBdr>
          <w:top w:val="single" w:color="15201C" w:sz="12"/>
          <w:bottom w:val="single" w:color="D9DEDA" w:sz="4"/>
        </w:pBdr>
        <w:spacing w:after="220" w:before="200"/>
      </w:pPr>
      <w:r>
        <w:rPr>
          <w:sz w:val="8"/>
          <w:szCs w:val="8"/>
        </w:rPr>
        <w:t xml:space="preserve"> </w:t>
      </w:r>
    </w:p>
    <w:p>
      <w:pPr>
        <w:spacing w:after="200"/>
      </w:pPr>
      <w:r>
        <w:rPr>
          <w:rFonts w:ascii="Georgia" w:cs="Georgia" w:eastAsia="Georgia" w:hAnsi="Georgia"/>
          <w:color w:val="15201C"/>
          <w:sz w:val="26"/>
          <w:szCs w:val="26"/>
        </w:rPr>
        <w:t xml:space="preserve">Two-thirds of the town’s residents are placed elsewhere, while nearly three-fifths of the town’s beds are filled by people from elsewhere. Both are true at once, and each strengthens the other.</w:t>
      </w:r>
    </w:p>
    <w:p>
      <w:pPr>
        <w:pStyle w:val="Heading1"/>
        <w:pBdr>
          <w:bottom w:val="single" w:color="058C72" w:sz="8"/>
        </w:pBdr>
        <w:spacing w:after="160" w:before="420"/>
      </w:pPr>
      <w:r>
        <w:rPr>
          <w:rFonts w:ascii="Consolas" w:cs="Consolas" w:eastAsia="Consolas" w:hAnsi="Consolas"/>
          <w:b/>
          <w:bCs/>
          <w:color w:val="058C72"/>
          <w:sz w:val="20"/>
          <w:szCs w:val="20"/>
        </w:rPr>
        <w:t xml:space="preserve">06   </w:t>
      </w:r>
      <w:r>
        <w:rPr>
          <w:rFonts w:ascii="Georgia" w:cs="Georgia" w:eastAsia="Georgia" w:hAnsi="Georgia"/>
          <w:b/>
          <w:bCs/>
          <w:color w:val="15201C"/>
          <w:sz w:val="30"/>
          <w:szCs w:val="30"/>
        </w:rPr>
        <w:t xml:space="preserve">The hospital pathway</w:t>
      </w:r>
    </w:p>
    <w:p>
      <w:pPr>
        <w:spacing w:after="140" w:before="0" w:line="276"/>
      </w:pPr>
      <w:r>
        <w:rPr>
          <w:rFonts w:ascii="Calibri" w:cs="Calibri" w:eastAsia="Calibri" w:hAnsi="Calibri"/>
          <w:color w:val="15201C"/>
          <w:sz w:val="22"/>
          <w:szCs w:val="22"/>
        </w:rPr>
        <w:t xml:space="preserve">Grouping Town residents by the setting they entered care from reveals the mechanism behind the headline. Access to a local bed depends heavily on whether the placement was urgent.</w:t>
      </w:r>
    </w:p>
    <w:p>
      <w:pPr>
        <w:spacing w:after="30" w:before="340"/>
      </w:pPr>
      <w:r>
        <w:rPr>
          <w:rFonts w:ascii="Calibri" w:cs="Calibri" w:eastAsia="Calibri" w:hAnsi="Calibri"/>
          <w:b/>
          <w:bCs/>
          <w:color w:val="15201C"/>
          <w:sz w:val="22"/>
          <w:szCs w:val="22"/>
        </w:rPr>
        <w:t xml:space="preserve">Share of Town residents placed in Cochrane, by setting they entered care from</w:t>
      </w:r>
    </w:p>
    <w:p>
      <w:pPr>
        <w:spacing w:after="150"/>
      </w:pPr>
      <w:r>
        <w:rPr>
          <w:rFonts w:ascii="Calibri" w:cs="Calibri" w:eastAsia="Calibri" w:hAnsi="Calibri"/>
          <w:color w:val="5C6862"/>
          <w:sz w:val="19"/>
          <w:szCs w:val="19"/>
        </w:rPr>
        <w:t xml:space="preserve">317 people. Bar length shows the proportion who received a Cochrane placement.</w:t>
      </w:r>
    </w:p>
    <w:p>
      <w:pPr>
        <w:tabs>
          <w:tab w:val="right" w:pos="9360"/>
        </w:tabs>
        <w:spacing w:after="50" w:before="180"/>
      </w:pPr>
      <w:r>
        <w:rPr>
          <w:rFonts w:ascii="Calibri" w:cs="Calibri" w:eastAsia="Calibri" w:hAnsi="Calibri"/>
          <w:b/>
          <w:bCs/>
          <w:color w:val="15201C"/>
          <w:sz w:val="21"/>
          <w:szCs w:val="21"/>
        </w:rPr>
        <w:t xml:space="preserve">Own home / community</w:t>
      </w:r>
      <w:r>
        <w:rPr>
          <w:rFonts w:ascii="Consolas" w:cs="Consolas" w:eastAsia="Consolas" w:hAnsi="Consolas"/>
          <w:color w:val="5C6862"/>
          <w:sz w:val="17"/>
          <w:szCs w:val="17"/>
        </w:rPr>
        <w:t xml:space="preserve">	93 people · 52 in Cochrane   </w:t>
      </w:r>
      <w:r>
        <w:rPr>
          <w:rFonts w:ascii="Consolas" w:cs="Consolas" w:eastAsia="Consolas" w:hAnsi="Consolas"/>
          <w:b/>
          <w:bCs/>
          <w:color w:val="058C72"/>
          <w:sz w:val="18"/>
          <w:szCs w:val="18"/>
        </w:rPr>
        <w:t xml:space="preserve">55.9%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32"/>
        <w:gridCol w:w="4128"/>
      </w:tblGrid>
      <w:tr>
        <w:tc>
          <w:tcPr>
            <w:tcW w:type="dxa" w:w="5232"/>
            <w:tcBorders>
              <w:top w:val="none" w:color="FFFFFF" w:sz="0"/>
              <w:left w:val="none" w:color="FFFFFF" w:sz="0"/>
              <w:bottom w:val="none" w:color="FFFFFF" w:sz="0"/>
              <w:right w:val="none" w:color="FFFFFF" w:sz="0"/>
            </w:tcBorders>
            <w:shd w:fill="058C72" w:color="auto" w:val="clear"/>
            <w:tcMar>
              <w:top w:type="dxa" w:w="60"/>
              <w:left w:type="dxa" w:w="0"/>
              <w:bottom w:type="dxa" w:w="60"/>
              <w:right w:type="dxa" w:w="0"/>
            </w:tcMar>
          </w:tcPr>
          <w:p>
            <w:pPr>
              <w:spacing w:after="0"/>
            </w:pPr>
            <w:r>
              <w:rPr>
                <w:sz w:val="14"/>
                <w:szCs w:val="14"/>
              </w:rPr>
              <w:t xml:space="preserve"/>
            </w:r>
          </w:p>
        </w:tc>
        <w:tc>
          <w:tcPr>
            <w:tcW w:type="dxa" w:w="4128"/>
            <w:tcBorders>
              <w:top w:val="none" w:color="FFFFFF" w:sz="0"/>
              <w:left w:val="none" w:color="FFFFFF" w:sz="0"/>
              <w:bottom w:val="none" w:color="FFFFFF" w:sz="0"/>
              <w:right w:val="none" w:color="FFFFFF" w:sz="0"/>
            </w:tcBorders>
            <w:shd w:fill="E9EDEA" w:color="auto" w:val="clear"/>
            <w:tcMar>
              <w:top w:type="dxa" w:w="60"/>
              <w:left w:type="dxa" w:w="0"/>
              <w:bottom w:type="dxa" w:w="60"/>
              <w:right w:type="dxa" w:w="0"/>
            </w:tcMar>
          </w:tcPr>
          <w:p>
            <w:pPr>
              <w:spacing w:after="0"/>
            </w:pPr>
            <w:r>
              <w:rPr>
                <w:sz w:val="14"/>
                <w:szCs w:val="14"/>
              </w:rPr>
              <w:t xml:space="preserve"/>
            </w:r>
          </w:p>
        </w:tc>
      </w:tr>
    </w:tbl>
    <w:p>
      <w:pPr>
        <w:tabs>
          <w:tab w:val="right" w:pos="9360"/>
        </w:tabs>
        <w:spacing w:after="50" w:before="180"/>
      </w:pPr>
      <w:r>
        <w:rPr>
          <w:rFonts w:ascii="Calibri" w:cs="Calibri" w:eastAsia="Calibri" w:hAnsi="Calibri"/>
          <w:b/>
          <w:bCs/>
          <w:color w:val="15201C"/>
          <w:sz w:val="21"/>
          <w:szCs w:val="21"/>
        </w:rPr>
        <w:t xml:space="preserve">Lodge</w:t>
      </w:r>
      <w:r>
        <w:rPr>
          <w:rFonts w:ascii="Consolas" w:cs="Consolas" w:eastAsia="Consolas" w:hAnsi="Consolas"/>
          <w:color w:val="5C6862"/>
          <w:sz w:val="17"/>
          <w:szCs w:val="17"/>
        </w:rPr>
        <w:t xml:space="preserve">	24 people · 13 in Cochrane   </w:t>
      </w:r>
      <w:r>
        <w:rPr>
          <w:rFonts w:ascii="Consolas" w:cs="Consolas" w:eastAsia="Consolas" w:hAnsi="Consolas"/>
          <w:b/>
          <w:bCs/>
          <w:color w:val="058C72"/>
          <w:sz w:val="18"/>
          <w:szCs w:val="18"/>
        </w:rPr>
        <w:t xml:space="preserve">54.2%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73"/>
        <w:gridCol w:w="4287"/>
      </w:tblGrid>
      <w:tr>
        <w:tc>
          <w:tcPr>
            <w:tcW w:type="dxa" w:w="5073"/>
            <w:tcBorders>
              <w:top w:val="none" w:color="FFFFFF" w:sz="0"/>
              <w:left w:val="none" w:color="FFFFFF" w:sz="0"/>
              <w:bottom w:val="none" w:color="FFFFFF" w:sz="0"/>
              <w:right w:val="none" w:color="FFFFFF" w:sz="0"/>
            </w:tcBorders>
            <w:shd w:fill="058C72" w:color="auto" w:val="clear"/>
            <w:tcMar>
              <w:top w:type="dxa" w:w="60"/>
              <w:left w:type="dxa" w:w="0"/>
              <w:bottom w:type="dxa" w:w="60"/>
              <w:right w:type="dxa" w:w="0"/>
            </w:tcMar>
          </w:tcPr>
          <w:p>
            <w:pPr>
              <w:spacing w:after="0"/>
            </w:pPr>
            <w:r>
              <w:rPr>
                <w:sz w:val="14"/>
                <w:szCs w:val="14"/>
              </w:rPr>
              <w:t xml:space="preserve"/>
            </w:r>
          </w:p>
        </w:tc>
        <w:tc>
          <w:tcPr>
            <w:tcW w:type="dxa" w:w="4287"/>
            <w:tcBorders>
              <w:top w:val="none" w:color="FFFFFF" w:sz="0"/>
              <w:left w:val="none" w:color="FFFFFF" w:sz="0"/>
              <w:bottom w:val="none" w:color="FFFFFF" w:sz="0"/>
              <w:right w:val="none" w:color="FFFFFF" w:sz="0"/>
            </w:tcBorders>
            <w:shd w:fill="E9EDEA" w:color="auto" w:val="clear"/>
            <w:tcMar>
              <w:top w:type="dxa" w:w="60"/>
              <w:left w:type="dxa" w:w="0"/>
              <w:bottom w:type="dxa" w:w="60"/>
              <w:right w:type="dxa" w:w="0"/>
            </w:tcMar>
          </w:tcPr>
          <w:p>
            <w:pPr>
              <w:spacing w:after="0"/>
            </w:pPr>
            <w:r>
              <w:rPr>
                <w:sz w:val="14"/>
                <w:szCs w:val="14"/>
              </w:rPr>
              <w:t xml:space="preserve"/>
            </w:r>
          </w:p>
        </w:tc>
      </w:tr>
    </w:tbl>
    <w:p>
      <w:pPr>
        <w:tabs>
          <w:tab w:val="right" w:pos="9360"/>
        </w:tabs>
        <w:spacing w:after="50" w:before="180"/>
      </w:pPr>
      <w:r>
        <w:rPr>
          <w:rFonts w:ascii="Calibri" w:cs="Calibri" w:eastAsia="Calibri" w:hAnsi="Calibri"/>
          <w:b/>
          <w:bCs/>
          <w:color w:val="15201C"/>
          <w:sz w:val="21"/>
          <w:szCs w:val="21"/>
        </w:rPr>
        <w:t xml:space="preserve">Other / unclear</w:t>
      </w:r>
      <w:r>
        <w:rPr>
          <w:rFonts w:ascii="Consolas" w:cs="Consolas" w:eastAsia="Consolas" w:hAnsi="Consolas"/>
          <w:color w:val="5C6862"/>
          <w:sz w:val="17"/>
          <w:szCs w:val="17"/>
        </w:rPr>
        <w:t xml:space="preserve">	22 people · 5 in Cochrane   </w:t>
      </w:r>
      <w:r>
        <w:rPr>
          <w:rFonts w:ascii="Consolas" w:cs="Consolas" w:eastAsia="Consolas" w:hAnsi="Consolas"/>
          <w:b/>
          <w:bCs/>
          <w:color w:val="058C72"/>
          <w:sz w:val="18"/>
          <w:szCs w:val="18"/>
        </w:rPr>
        <w:t xml:space="preserve">22.7%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5"/>
        <w:gridCol w:w="7235"/>
      </w:tblGrid>
      <w:tr>
        <w:tc>
          <w:tcPr>
            <w:tcW w:type="dxa" w:w="2125"/>
            <w:tcBorders>
              <w:top w:val="none" w:color="FFFFFF" w:sz="0"/>
              <w:left w:val="none" w:color="FFFFFF" w:sz="0"/>
              <w:bottom w:val="none" w:color="FFFFFF" w:sz="0"/>
              <w:right w:val="none" w:color="FFFFFF" w:sz="0"/>
            </w:tcBorders>
            <w:shd w:fill="058C72" w:color="auto" w:val="clear"/>
            <w:tcMar>
              <w:top w:type="dxa" w:w="60"/>
              <w:left w:type="dxa" w:w="0"/>
              <w:bottom w:type="dxa" w:w="60"/>
              <w:right w:type="dxa" w:w="0"/>
            </w:tcMar>
          </w:tcPr>
          <w:p>
            <w:pPr>
              <w:spacing w:after="0"/>
            </w:pPr>
            <w:r>
              <w:rPr>
                <w:sz w:val="14"/>
                <w:szCs w:val="14"/>
              </w:rPr>
              <w:t xml:space="preserve"/>
            </w:r>
          </w:p>
        </w:tc>
        <w:tc>
          <w:tcPr>
            <w:tcW w:type="dxa" w:w="7235"/>
            <w:tcBorders>
              <w:top w:val="none" w:color="FFFFFF" w:sz="0"/>
              <w:left w:val="none" w:color="FFFFFF" w:sz="0"/>
              <w:bottom w:val="none" w:color="FFFFFF" w:sz="0"/>
              <w:right w:val="none" w:color="FFFFFF" w:sz="0"/>
            </w:tcBorders>
            <w:shd w:fill="E9EDEA" w:color="auto" w:val="clear"/>
            <w:tcMar>
              <w:top w:type="dxa" w:w="60"/>
              <w:left w:type="dxa" w:w="0"/>
              <w:bottom w:type="dxa" w:w="60"/>
              <w:right w:type="dxa" w:w="0"/>
            </w:tcMar>
          </w:tcPr>
          <w:p>
            <w:pPr>
              <w:spacing w:after="0"/>
            </w:pPr>
            <w:r>
              <w:rPr>
                <w:sz w:val="14"/>
                <w:szCs w:val="14"/>
              </w:rPr>
              <w:t xml:space="preserve"/>
            </w:r>
          </w:p>
        </w:tc>
      </w:tr>
    </w:tbl>
    <w:p>
      <w:pPr>
        <w:tabs>
          <w:tab w:val="right" w:pos="9360"/>
        </w:tabs>
        <w:spacing w:after="50" w:before="180"/>
      </w:pPr>
      <w:r>
        <w:rPr>
          <w:rFonts w:ascii="Calibri" w:cs="Calibri" w:eastAsia="Calibri" w:hAnsi="Calibri"/>
          <w:b/>
          <w:bCs/>
          <w:color w:val="15201C"/>
          <w:sz w:val="21"/>
          <w:szCs w:val="21"/>
        </w:rPr>
        <w:t xml:space="preserve">Acute hospital</w:t>
      </w:r>
      <w:r>
        <w:rPr>
          <w:rFonts w:ascii="Consolas" w:cs="Consolas" w:eastAsia="Consolas" w:hAnsi="Consolas"/>
          <w:color w:val="5C6862"/>
          <w:sz w:val="17"/>
          <w:szCs w:val="17"/>
        </w:rPr>
        <w:t xml:space="preserve">	149 people · 25 in Cochrane   </w:t>
      </w:r>
      <w:r>
        <w:rPr>
          <w:rFonts w:ascii="Consolas" w:cs="Consolas" w:eastAsia="Consolas" w:hAnsi="Consolas"/>
          <w:b/>
          <w:bCs/>
          <w:color w:val="058C72"/>
          <w:sz w:val="18"/>
          <w:szCs w:val="18"/>
        </w:rPr>
        <w:t xml:space="preserve">16.8%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72"/>
        <w:gridCol w:w="7788"/>
      </w:tblGrid>
      <w:tr>
        <w:tc>
          <w:tcPr>
            <w:tcW w:type="dxa" w:w="1572"/>
            <w:tcBorders>
              <w:top w:val="none" w:color="FFFFFF" w:sz="0"/>
              <w:left w:val="none" w:color="FFFFFF" w:sz="0"/>
              <w:bottom w:val="none" w:color="FFFFFF" w:sz="0"/>
              <w:right w:val="none" w:color="FFFFFF" w:sz="0"/>
            </w:tcBorders>
            <w:shd w:fill="058C72" w:color="auto" w:val="clear"/>
            <w:tcMar>
              <w:top w:type="dxa" w:w="60"/>
              <w:left w:type="dxa" w:w="0"/>
              <w:bottom w:type="dxa" w:w="60"/>
              <w:right w:type="dxa" w:w="0"/>
            </w:tcMar>
          </w:tcPr>
          <w:p>
            <w:pPr>
              <w:spacing w:after="0"/>
            </w:pPr>
            <w:r>
              <w:rPr>
                <w:sz w:val="14"/>
                <w:szCs w:val="14"/>
              </w:rPr>
              <w:t xml:space="preserve"/>
            </w:r>
          </w:p>
        </w:tc>
        <w:tc>
          <w:tcPr>
            <w:tcW w:type="dxa" w:w="7788"/>
            <w:tcBorders>
              <w:top w:val="none" w:color="FFFFFF" w:sz="0"/>
              <w:left w:val="none" w:color="FFFFFF" w:sz="0"/>
              <w:bottom w:val="none" w:color="FFFFFF" w:sz="0"/>
              <w:right w:val="none" w:color="FFFFFF" w:sz="0"/>
            </w:tcBorders>
            <w:shd w:fill="E9EDEA" w:color="auto" w:val="clear"/>
            <w:tcMar>
              <w:top w:type="dxa" w:w="60"/>
              <w:left w:type="dxa" w:w="0"/>
              <w:bottom w:type="dxa" w:w="60"/>
              <w:right w:type="dxa" w:w="0"/>
            </w:tcMar>
          </w:tcPr>
          <w:p>
            <w:pPr>
              <w:spacing w:after="0"/>
            </w:pPr>
            <w:r>
              <w:rPr>
                <w:sz w:val="14"/>
                <w:szCs w:val="14"/>
              </w:rPr>
              <w:t xml:space="preserve"/>
            </w:r>
          </w:p>
        </w:tc>
      </w:tr>
    </w:tbl>
    <w:p>
      <w:pPr>
        <w:tabs>
          <w:tab w:val="right" w:pos="9360"/>
        </w:tabs>
        <w:spacing w:after="50" w:before="180"/>
      </w:pPr>
      <w:r>
        <w:rPr>
          <w:rFonts w:ascii="Calibri" w:cs="Calibri" w:eastAsia="Calibri" w:hAnsi="Calibri"/>
          <w:b/>
          <w:bCs/>
          <w:color w:val="15201C"/>
          <w:sz w:val="21"/>
          <w:szCs w:val="21"/>
        </w:rPr>
        <w:t xml:space="preserve">Transition / rehab</w:t>
      </w:r>
      <w:r>
        <w:rPr>
          <w:rFonts w:ascii="Consolas" w:cs="Consolas" w:eastAsia="Consolas" w:hAnsi="Consolas"/>
          <w:color w:val="5C6862"/>
          <w:sz w:val="17"/>
          <w:szCs w:val="17"/>
        </w:rPr>
        <w:t xml:space="preserve">	12 people · 1 in Cochrane   </w:t>
      </w:r>
      <w:r>
        <w:rPr>
          <w:rFonts w:ascii="Consolas" w:cs="Consolas" w:eastAsia="Consolas" w:hAnsi="Consolas"/>
          <w:b/>
          <w:bCs/>
          <w:color w:val="058C72"/>
          <w:sz w:val="18"/>
          <w:szCs w:val="18"/>
        </w:rPr>
        <w:t xml:space="preserve">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77"/>
        <w:gridCol w:w="8583"/>
      </w:tblGrid>
      <w:tr>
        <w:tc>
          <w:tcPr>
            <w:tcW w:type="dxa" w:w="777"/>
            <w:tcBorders>
              <w:top w:val="none" w:color="FFFFFF" w:sz="0"/>
              <w:left w:val="none" w:color="FFFFFF" w:sz="0"/>
              <w:bottom w:val="none" w:color="FFFFFF" w:sz="0"/>
              <w:right w:val="none" w:color="FFFFFF" w:sz="0"/>
            </w:tcBorders>
            <w:shd w:fill="058C72" w:color="auto" w:val="clear"/>
            <w:tcMar>
              <w:top w:type="dxa" w:w="60"/>
              <w:left w:type="dxa" w:w="0"/>
              <w:bottom w:type="dxa" w:w="60"/>
              <w:right w:type="dxa" w:w="0"/>
            </w:tcMar>
          </w:tcPr>
          <w:p>
            <w:pPr>
              <w:spacing w:after="0"/>
            </w:pPr>
            <w:r>
              <w:rPr>
                <w:sz w:val="14"/>
                <w:szCs w:val="14"/>
              </w:rPr>
              <w:t xml:space="preserve"/>
            </w:r>
          </w:p>
        </w:tc>
        <w:tc>
          <w:tcPr>
            <w:tcW w:type="dxa" w:w="8583"/>
            <w:tcBorders>
              <w:top w:val="none" w:color="FFFFFF" w:sz="0"/>
              <w:left w:val="none" w:color="FFFFFF" w:sz="0"/>
              <w:bottom w:val="none" w:color="FFFFFF" w:sz="0"/>
              <w:right w:val="none" w:color="FFFFFF" w:sz="0"/>
            </w:tcBorders>
            <w:shd w:fill="E9EDEA" w:color="auto" w:val="clear"/>
            <w:tcMar>
              <w:top w:type="dxa" w:w="60"/>
              <w:left w:type="dxa" w:w="0"/>
              <w:bottom w:type="dxa" w:w="60"/>
              <w:right w:type="dxa" w:w="0"/>
            </w:tcMar>
          </w:tcPr>
          <w:p>
            <w:pPr>
              <w:spacing w:after="0"/>
            </w:pPr>
            <w:r>
              <w:rPr>
                <w:sz w:val="14"/>
                <w:szCs w:val="14"/>
              </w:rPr>
              <w:t xml:space="preserve"/>
            </w:r>
          </w:p>
        </w:tc>
      </w:tr>
    </w:tbl>
    <w:p>
      <w:pPr>
        <w:tabs>
          <w:tab w:val="right" w:pos="9360"/>
        </w:tabs>
        <w:spacing w:after="50" w:before="180"/>
      </w:pPr>
      <w:r>
        <w:rPr>
          <w:rFonts w:ascii="Calibri" w:cs="Calibri" w:eastAsia="Calibri" w:hAnsi="Calibri"/>
          <w:b/>
          <w:bCs/>
          <w:color w:val="15201C"/>
          <w:sz w:val="21"/>
          <w:szCs w:val="21"/>
        </w:rPr>
        <w:t xml:space="preserve">Supportive living</w:t>
      </w:r>
      <w:r>
        <w:rPr>
          <w:rFonts w:ascii="Consolas" w:cs="Consolas" w:eastAsia="Consolas" w:hAnsi="Consolas"/>
          <w:color w:val="5C6862"/>
          <w:sz w:val="17"/>
          <w:szCs w:val="17"/>
        </w:rPr>
        <w:t xml:space="preserve">	17 people · 1 in Cochrane   </w:t>
      </w:r>
      <w:r>
        <w:rPr>
          <w:rFonts w:ascii="Consolas" w:cs="Consolas" w:eastAsia="Consolas" w:hAnsi="Consolas"/>
          <w:b/>
          <w:bCs/>
          <w:color w:val="058C72"/>
          <w:sz w:val="18"/>
          <w:szCs w:val="18"/>
        </w:rPr>
        <w:t xml:space="preserve">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2"/>
        <w:gridCol w:w="8808"/>
      </w:tblGrid>
      <w:tr>
        <w:tc>
          <w:tcPr>
            <w:tcW w:type="dxa" w:w="552"/>
            <w:tcBorders>
              <w:top w:val="none" w:color="FFFFFF" w:sz="0"/>
              <w:left w:val="none" w:color="FFFFFF" w:sz="0"/>
              <w:bottom w:val="none" w:color="FFFFFF" w:sz="0"/>
              <w:right w:val="none" w:color="FFFFFF" w:sz="0"/>
            </w:tcBorders>
            <w:shd w:fill="058C72" w:color="auto" w:val="clear"/>
            <w:tcMar>
              <w:top w:type="dxa" w:w="60"/>
              <w:left w:type="dxa" w:w="0"/>
              <w:bottom w:type="dxa" w:w="60"/>
              <w:right w:type="dxa" w:w="0"/>
            </w:tcMar>
          </w:tcPr>
          <w:p>
            <w:pPr>
              <w:spacing w:after="0"/>
            </w:pPr>
            <w:r>
              <w:rPr>
                <w:sz w:val="14"/>
                <w:szCs w:val="14"/>
              </w:rPr>
              <w:t xml:space="preserve"/>
            </w:r>
          </w:p>
        </w:tc>
        <w:tc>
          <w:tcPr>
            <w:tcW w:type="dxa" w:w="8808"/>
            <w:tcBorders>
              <w:top w:val="none" w:color="FFFFFF" w:sz="0"/>
              <w:left w:val="none" w:color="FFFFFF" w:sz="0"/>
              <w:bottom w:val="none" w:color="FFFFFF" w:sz="0"/>
              <w:right w:val="none" w:color="FFFFFF" w:sz="0"/>
            </w:tcBorders>
            <w:shd w:fill="E9EDEA" w:color="auto" w:val="clear"/>
            <w:tcMar>
              <w:top w:type="dxa" w:w="60"/>
              <w:left w:type="dxa" w:w="0"/>
              <w:bottom w:type="dxa" w:w="60"/>
              <w:right w:type="dxa" w:w="0"/>
            </w:tcMar>
          </w:tcPr>
          <w:p>
            <w:pPr>
              <w:spacing w:after="0"/>
            </w:pPr>
            <w:r>
              <w:rPr>
                <w:sz w:val="14"/>
                <w:szCs w:val="14"/>
              </w:rPr>
              <w:t xml:space="preserve"/>
            </w:r>
          </w:p>
        </w:tc>
      </w:tr>
    </w:tbl>
    <w:p>
      <w:pPr>
        <w:spacing w:after="220" w:before="110"/>
      </w:pPr>
      <w:r>
        <w:rPr>
          <w:rFonts w:ascii="Calibri" w:cs="Calibri" w:eastAsia="Calibri" w:hAnsi="Calibri"/>
          <w:i w:val="false"/>
          <w:iCs w:val="false"/>
          <w:color w:val="5C6862"/>
          <w:sz w:val="18"/>
          <w:szCs w:val="18"/>
        </w:rPr>
        <w:t xml:space="preserve">Acute hospital is the single largest entry point into care for Town residents — 149 of 317, or 47% — and the one least likely to end in a local placement.</w:t>
      </w:r>
    </w:p>
    <w:p>
      <w:pPr>
        <w:spacing w:after="140" w:before="0" w:line="276"/>
      </w:pPr>
      <w:r>
        <w:rPr>
          <w:rFonts w:ascii="Calibri" w:cs="Calibri" w:eastAsia="Calibri" w:hAnsi="Calibri"/>
          <w:color w:val="15201C"/>
          <w:sz w:val="22"/>
          <w:szCs w:val="22"/>
        </w:rPr>
        <w:t xml:space="preserve">A resident entering care </w:t>
      </w:r>
      <w:r>
        <w:rPr>
          <w:rFonts w:ascii="Calibri" w:cs="Calibri" w:eastAsia="Calibri" w:hAnsi="Calibri"/>
          <w:b/>
          <w:bCs/>
          <w:color w:val="15201C"/>
          <w:sz w:val="22"/>
          <w:szCs w:val="22"/>
        </w:rPr>
        <w:t xml:space="preserve">from the community has roughly a coin-flip chance</w:t>
      </w:r>
      <w:r>
        <w:rPr>
          <w:rFonts w:ascii="Calibri" w:cs="Calibri" w:eastAsia="Calibri" w:hAnsi="Calibri"/>
          <w:color w:val="15201C"/>
          <w:sz w:val="22"/>
          <w:szCs w:val="22"/>
        </w:rPr>
        <w:t xml:space="preserve"> of a Cochrane bed. A resident entering </w:t>
      </w:r>
      <w:r>
        <w:rPr>
          <w:rFonts w:ascii="Calibri" w:cs="Calibri" w:eastAsia="Calibri" w:hAnsi="Calibri"/>
          <w:b/>
          <w:bCs/>
          <w:color w:val="15201C"/>
          <w:sz w:val="22"/>
          <w:szCs w:val="22"/>
        </w:rPr>
        <w:t xml:space="preserve">from an acute hospital bed has about one in six</w:t>
      </w:r>
      <w:r>
        <w:rPr>
          <w:rFonts w:ascii="Calibri" w:cs="Calibri" w:eastAsia="Calibri" w:hAnsi="Calibri"/>
          <w:color w:val="15201C"/>
          <w:sz w:val="22"/>
          <w:szCs w:val="22"/>
        </w:rPr>
        <w:t xml:space="preserve">.</w:t>
      </w:r>
    </w:p>
    <w:p>
      <w:pPr>
        <w:spacing w:after="140" w:before="0" w:line="276"/>
      </w:pPr>
      <w:r>
        <w:rPr>
          <w:rFonts w:ascii="Calibri" w:cs="Calibri" w:eastAsia="Calibri" w:hAnsi="Calibri"/>
          <w:color w:val="15201C"/>
          <w:sz w:val="22"/>
          <w:szCs w:val="22"/>
        </w:rPr>
        <w:t xml:space="preserve">That reframes the problem. It is not only a question of how many beds exist, but of whether the town has any capacity able to absorb an urgent hospital discharge. When an acute bed must be freed, the person goes wherever a bed is open — and that is overwhelmingly not Cochrane.</w:t>
      </w:r>
    </w:p>
    <w:p>
      <w:pPr>
        <w:pStyle w:val="Heading1"/>
        <w:pBdr>
          <w:bottom w:val="single" w:color="058C72" w:sz="8"/>
        </w:pBdr>
        <w:spacing w:after="160" w:before="420"/>
      </w:pPr>
      <w:r>
        <w:rPr>
          <w:rFonts w:ascii="Consolas" w:cs="Consolas" w:eastAsia="Consolas" w:hAnsi="Consolas"/>
          <w:b/>
          <w:bCs/>
          <w:color w:val="058C72"/>
          <w:sz w:val="20"/>
          <w:szCs w:val="20"/>
        </w:rPr>
        <w:t xml:space="preserve">07   </w:t>
      </w:r>
      <w:r>
        <w:rPr>
          <w:rFonts w:ascii="Georgia" w:cs="Georgia" w:eastAsia="Georgia" w:hAnsi="Georgia"/>
          <w:b/>
          <w:bCs/>
          <w:color w:val="15201C"/>
          <w:sz w:val="30"/>
          <w:szCs w:val="30"/>
        </w:rPr>
        <w:t xml:space="preserve">Time to placement</w:t>
      </w:r>
    </w:p>
    <w:p>
      <w:pPr>
        <w:spacing w:after="140" w:before="0" w:line="276"/>
      </w:pPr>
      <w:r>
        <w:rPr>
          <w:rFonts w:ascii="Calibri" w:cs="Calibri" w:eastAsia="Calibri" w:hAnsi="Calibri"/>
          <w:color w:val="15201C"/>
          <w:sz w:val="22"/>
          <w:szCs w:val="22"/>
        </w:rPr>
        <w:t xml:space="preserve">Wait times are measured from assessment and approval to admission, for first-ever placements only. Transfers between facilities run on a separate clock and are excluded here; blending the two produces a figure that describes neither.</w:t>
      </w:r>
    </w:p>
    <w:p>
      <w:pPr>
        <w:spacing w:after="90" w:before="260"/>
      </w:pPr>
      <w:r>
        <w:rPr>
          <w:rFonts w:ascii="Consolas" w:cs="Consolas" w:eastAsia="Consolas" w:hAnsi="Consolas"/>
          <w:b/>
          <w:bCs/>
          <w:caps/>
          <w:color w:val="5C6862"/>
          <w:spacing w:val="24"/>
          <w:sz w:val="17"/>
          <w:szCs w:val="17"/>
        </w:rPr>
        <w:t xml:space="preserve">Days from approval to admission — first 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left"/>
            </w:pPr>
            <w:r>
              <w:rPr>
                <w:rFonts w:ascii="Consolas" w:cs="Consolas" w:eastAsia="Consolas" w:hAnsi="Consolas"/>
                <w:b/>
                <w:bCs/>
                <w:color w:val="5C6862"/>
                <w:sz w:val="16"/>
                <w:szCs w:val="16"/>
              </w:rPr>
              <w:t xml:space="preserve">Group</w:t>
            </w:r>
          </w:p>
        </w:tc>
        <w:tc>
          <w:tcPr>
            <w:tcW w:type="dxa" w:w="16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right"/>
            </w:pPr>
            <w:r>
              <w:rPr>
                <w:rFonts w:ascii="Consolas" w:cs="Consolas" w:eastAsia="Consolas" w:hAnsi="Consolas"/>
                <w:b/>
                <w:bCs/>
                <w:color w:val="5C6862"/>
                <w:sz w:val="16"/>
                <w:szCs w:val="16"/>
              </w:rPr>
              <w:t xml:space="preserve">People</w:t>
            </w:r>
          </w:p>
        </w:tc>
        <w:tc>
          <w:tcPr>
            <w:tcW w:type="dxa" w:w="16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right"/>
            </w:pPr>
            <w:r>
              <w:rPr>
                <w:rFonts w:ascii="Consolas" w:cs="Consolas" w:eastAsia="Consolas" w:hAnsi="Consolas"/>
                <w:b/>
                <w:bCs/>
                <w:color w:val="5C6862"/>
                <w:sz w:val="16"/>
                <w:szCs w:val="16"/>
              </w:rPr>
              <w:t xml:space="preserve">Median</w:t>
            </w:r>
          </w:p>
        </w:tc>
        <w:tc>
          <w:tcPr>
            <w:tcW w:type="dxa" w:w="16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right"/>
            </w:pPr>
            <w:r>
              <w:rPr>
                <w:rFonts w:ascii="Consolas" w:cs="Consolas" w:eastAsia="Consolas" w:hAnsi="Consolas"/>
                <w:b/>
                <w:bCs/>
                <w:color w:val="5C6862"/>
                <w:sz w:val="16"/>
                <w:szCs w:val="16"/>
              </w:rPr>
              <w:t xml:space="preserve">90th percentile</w:t>
            </w:r>
          </w:p>
        </w:tc>
      </w:tr>
      <w:tr>
        <w:tc>
          <w:tcPr>
            <w:tcW w:type="dxa" w:w="456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left"/>
            </w:pPr>
            <w:r>
              <w:rPr>
                <w:rFonts w:ascii="Calibri" w:cs="Calibri" w:eastAsia="Calibri" w:hAnsi="Calibri"/>
                <w:color w:val="15201C"/>
                <w:sz w:val="20"/>
                <w:szCs w:val="20"/>
              </w:rPr>
              <w:t xml:space="preserve">Town resident → placed in Cochrane</w:t>
            </w:r>
          </w:p>
        </w:tc>
        <w:tc>
          <w:tcPr>
            <w:tcW w:type="dxa" w:w="1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97</w:t>
            </w:r>
          </w:p>
        </w:tc>
        <w:tc>
          <w:tcPr>
            <w:tcW w:type="dxa" w:w="1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b/>
                <w:bCs/>
                <w:color w:val="058C72"/>
                <w:sz w:val="20"/>
                <w:szCs w:val="20"/>
              </w:rPr>
              <w:t xml:space="preserve">32</w:t>
            </w:r>
          </w:p>
        </w:tc>
        <w:tc>
          <w:tcPr>
            <w:tcW w:type="dxa" w:w="1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335</w:t>
            </w:r>
          </w:p>
        </w:tc>
      </w:tr>
      <w:tr>
        <w:tc>
          <w:tcPr>
            <w:tcW w:type="dxa" w:w="456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left"/>
            </w:pPr>
            <w:r>
              <w:rPr>
                <w:rFonts w:ascii="Calibri" w:cs="Calibri" w:eastAsia="Calibri" w:hAnsi="Calibri"/>
                <w:color w:val="15201C"/>
                <w:sz w:val="20"/>
                <w:szCs w:val="20"/>
              </w:rPr>
              <w:t xml:space="preserve">Town resident → placed outside Cochrane</w:t>
            </w:r>
          </w:p>
        </w:tc>
        <w:tc>
          <w:tcPr>
            <w:tcW w:type="dxa" w:w="1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220</w:t>
            </w:r>
          </w:p>
        </w:tc>
        <w:tc>
          <w:tcPr>
            <w:tcW w:type="dxa" w:w="1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b/>
                <w:bCs/>
                <w:color w:val="C4671A"/>
                <w:sz w:val="20"/>
                <w:szCs w:val="20"/>
              </w:rPr>
              <w:t xml:space="preserve">18</w:t>
            </w:r>
          </w:p>
        </w:tc>
        <w:tc>
          <w:tcPr>
            <w:tcW w:type="dxa" w:w="1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190</w:t>
            </w:r>
          </w:p>
        </w:tc>
      </w:tr>
      <w:tr>
        <w:tc>
          <w:tcPr>
            <w:tcW w:type="dxa" w:w="456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left"/>
            </w:pPr>
            <w:r>
              <w:rPr>
                <w:rFonts w:ascii="Calibri" w:cs="Calibri" w:eastAsia="Calibri" w:hAnsi="Calibri"/>
                <w:color w:val="15201C"/>
                <w:sz w:val="20"/>
                <w:szCs w:val="20"/>
              </w:rPr>
              <w:t xml:space="preserve">Non-resident → placed in Cochrane</w:t>
            </w:r>
          </w:p>
        </w:tc>
        <w:tc>
          <w:tcPr>
            <w:tcW w:type="dxa" w:w="1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140</w:t>
            </w:r>
          </w:p>
        </w:tc>
        <w:tc>
          <w:tcPr>
            <w:tcW w:type="dxa" w:w="1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30</w:t>
            </w:r>
          </w:p>
        </w:tc>
        <w:tc>
          <w:tcPr>
            <w:tcW w:type="dxa" w:w="16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327</w:t>
            </w:r>
          </w:p>
        </w:tc>
      </w:tr>
    </w:tbl>
    <w:p>
      <w:pPr>
        <w:spacing w:after="18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671A" w:sz="18"/>
              <w:bottom w:val="none" w:color="FFFFFF" w:sz="0"/>
              <w:right w:val="none" w:color="FFFFFF" w:sz="0"/>
            </w:tcBorders>
            <w:shd w:fill="FBF0E6" w:color="auto" w:val="clear"/>
            <w:tcMar>
              <w:top w:type="dxa" w:w="180"/>
              <w:left w:type="dxa" w:w="200"/>
              <w:bottom w:type="dxa" w:w="180"/>
              <w:right w:type="dxa" w:w="200"/>
            </w:tcMar>
          </w:tcPr>
          <w:p>
            <w:pPr>
              <w:spacing w:after="90"/>
            </w:pPr>
            <w:r>
              <w:rPr>
                <w:rFonts w:ascii="Consolas" w:cs="Consolas" w:eastAsia="Consolas" w:hAnsi="Consolas"/>
                <w:b/>
                <w:bCs/>
                <w:caps/>
                <w:color w:val="C4671A"/>
                <w:spacing w:val="26"/>
                <w:sz w:val="16"/>
                <w:szCs w:val="16"/>
              </w:rPr>
              <w:t xml:space="preserve">Read this the right way round</w:t>
            </w:r>
          </w:p>
          <w:p>
            <w:pPr>
              <w:spacing w:after="90" w:line="276"/>
            </w:pPr>
            <w:r>
              <w:rPr>
                <w:rFonts w:ascii="Calibri" w:cs="Calibri" w:eastAsia="Calibri" w:hAnsi="Calibri"/>
                <w:color w:val="15201C"/>
                <w:sz w:val="21"/>
                <w:szCs w:val="21"/>
              </w:rPr>
              <w:t xml:space="preserve">Residents placed </w:t>
            </w:r>
            <w:r>
              <w:rPr>
                <w:rFonts w:ascii="Calibri" w:cs="Calibri" w:eastAsia="Calibri" w:hAnsi="Calibri"/>
                <w:i/>
                <w:iCs/>
                <w:color w:val="15201C"/>
                <w:sz w:val="21"/>
                <w:szCs w:val="21"/>
              </w:rPr>
              <w:t xml:space="preserve">outside</w:t>
            </w:r>
            <w:r>
              <w:rPr>
                <w:rFonts w:ascii="Calibri" w:cs="Calibri" w:eastAsia="Calibri" w:hAnsi="Calibri"/>
                <w:color w:val="15201C"/>
                <w:sz w:val="21"/>
                <w:szCs w:val="21"/>
              </w:rPr>
              <w:t xml:space="preserve"> Cochrane waited </w:t>
            </w:r>
            <w:r>
              <w:rPr>
                <w:rFonts w:ascii="Calibri" w:cs="Calibri" w:eastAsia="Calibri" w:hAnsi="Calibri"/>
                <w:b/>
                <w:bCs/>
                <w:color w:val="15201C"/>
                <w:sz w:val="21"/>
                <w:szCs w:val="21"/>
              </w:rPr>
              <w:t xml:space="preserve">less</w:t>
            </w:r>
            <w:r>
              <w:rPr>
                <w:rFonts w:ascii="Calibri" w:cs="Calibri" w:eastAsia="Calibri" w:hAnsi="Calibri"/>
                <w:color w:val="15201C"/>
                <w:sz w:val="21"/>
                <w:szCs w:val="21"/>
              </w:rPr>
              <w:t xml:space="preserve"> — 18 days against 32. That is not evidence of better service. It is the signature of accepting the first available bed rather than holding out for a local one, and the 90th percentile shows the cost of holding out: 335 days against 190.</w:t>
            </w:r>
          </w:p>
        </w:tc>
      </w:tr>
    </w:tbl>
    <w:p>
      <w:pPr>
        <w:pStyle w:val="Heading2"/>
        <w:spacing w:after="100" w:before="280"/>
      </w:pPr>
      <w:r>
        <w:rPr>
          <w:rFonts w:ascii="Calibri" w:cs="Calibri" w:eastAsia="Calibri" w:hAnsi="Calibri"/>
          <w:b/>
          <w:bCs/>
          <w:color w:val="15201C"/>
          <w:sz w:val="23"/>
          <w:szCs w:val="23"/>
        </w:rPr>
        <w:t xml:space="preserve">Was the placement what the resident asked for?</w:t>
      </w:r>
    </w:p>
    <w:p>
      <w:pPr>
        <w:spacing w:after="140" w:before="0" w:line="276"/>
      </w:pPr>
      <w:r>
        <w:rPr>
          <w:rFonts w:ascii="Calibri" w:cs="Calibri" w:eastAsia="Calibri" w:hAnsi="Calibri"/>
          <w:color w:val="15201C"/>
          <w:sz w:val="22"/>
          <w:szCs w:val="22"/>
        </w:rPr>
        <w:t xml:space="preserve">Not answerable from the placement records alone. The admission file carries a service_provider_rating field that appears to rank the site received, and an earlier draft of this paper reported it as a preference measure. Testing it against the waitlist system showed it does not mean that.</w:t>
      </w:r>
    </w:p>
    <w:p>
      <w:pPr>
        <w:spacing w:after="140" w:before="0" w:line="276"/>
      </w:pPr>
      <w:r>
        <w:rPr>
          <w:rFonts w:ascii="Calibri" w:cs="Calibri" w:eastAsia="Calibri" w:hAnsi="Calibri"/>
          <w:color w:val="15201C"/>
          <w:sz w:val="22"/>
          <w:szCs w:val="22"/>
        </w:rPr>
        <w:t xml:space="preserve">Of 344 admissions into Cochrane facilities, </w:t>
      </w:r>
      <w:r>
        <w:rPr>
          <w:rFonts w:ascii="Calibri" w:cs="Calibri" w:eastAsia="Calibri" w:hAnsi="Calibri"/>
          <w:b/>
          <w:bCs/>
          <w:color w:val="15201C"/>
          <w:sz w:val="22"/>
          <w:szCs w:val="22"/>
        </w:rPr>
        <w:t xml:space="preserve">285 were to a site the person had never listed as a preference</w:t>
      </w:r>
      <w:r>
        <w:rPr>
          <w:rFonts w:ascii="Calibri" w:cs="Calibri" w:eastAsia="Calibri" w:hAnsi="Calibri"/>
          <w:color w:val="15201C"/>
          <w:sz w:val="22"/>
          <w:szCs w:val="22"/>
        </w:rPr>
        <w:t xml:space="preserve"> — yet 187 of those carry a rating of 1. One client waited 894 days on the waitlist for Bethany Airdrie, was placed at Bethany Cochrane instead, and the admission record scores that placement as a 1.</w:t>
      </w:r>
    </w:p>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4671A" w:sz="18"/>
              <w:bottom w:val="none" w:color="FFFFFF" w:sz="0"/>
              <w:right w:val="none" w:color="FFFFFF" w:sz="0"/>
            </w:tcBorders>
            <w:shd w:fill="FBF0E6" w:color="auto" w:val="clear"/>
            <w:tcMar>
              <w:top w:type="dxa" w:w="180"/>
              <w:left w:type="dxa" w:w="200"/>
              <w:bottom w:type="dxa" w:w="180"/>
              <w:right w:type="dxa" w:w="200"/>
            </w:tcMar>
          </w:tcPr>
          <w:p>
            <w:pPr>
              <w:spacing w:after="90"/>
            </w:pPr>
            <w:r>
              <w:rPr>
                <w:rFonts w:ascii="Consolas" w:cs="Consolas" w:eastAsia="Consolas" w:hAnsi="Consolas"/>
                <w:b/>
                <w:bCs/>
                <w:caps/>
                <w:color w:val="C4671A"/>
                <w:spacing w:val="26"/>
                <w:sz w:val="16"/>
                <w:szCs w:val="16"/>
              </w:rPr>
              <w:t xml:space="preserve">Withdrawn from this paper</w:t>
            </w:r>
          </w:p>
          <w:p>
            <w:pPr>
              <w:spacing w:after="90" w:line="276"/>
            </w:pPr>
            <w:r>
              <w:rPr>
                <w:rFonts w:ascii="Calibri" w:cs="Calibri" w:eastAsia="Calibri" w:hAnsi="Calibri"/>
                <w:color w:val="15201C"/>
                <w:sz w:val="21"/>
                <w:szCs w:val="21"/>
              </w:rPr>
              <w:t xml:space="preserve">The preference-rank breakdown that appeared here has been removed. The field it rested on does not carry the meaning assumed, and no claim about what residents preferred is made anywhere in this paper.</w:t>
            </w:r>
          </w:p>
          <w:p>
            <w:pPr>
              <w:spacing w:after="90" w:line="276"/>
            </w:pPr>
            <w:r>
              <w:rPr>
                <w:rFonts w:ascii="Calibri" w:cs="Calibri" w:eastAsia="Calibri" w:hAnsi="Calibri"/>
                <w:color w:val="15201C"/>
                <w:sz w:val="21"/>
                <w:szCs w:val="21"/>
              </w:rPr>
              <w:t xml:space="preserve">The waitlist system does hold real recorded preferences, and that analysis is underway. It is reported separately once validated — not folded into figures that do not depend on it.</w:t>
            </w:r>
          </w:p>
        </w:tc>
      </w:tr>
    </w:tbl>
    <w:p>
      <w:pPr>
        <w:spacing w:after="160"/>
      </w:pPr>
      <w:r>
        <w:rPr>
          <w:sz w:val="2"/>
          <w:szCs w:val="2"/>
        </w:rPr>
        <w:t xml:space="preserve"/>
      </w:r>
    </w:p>
    <w:p>
      <w:pPr>
        <w:spacing w:after="140" w:before="0" w:line="276"/>
      </w:pPr>
      <w:r>
        <w:rPr>
          <w:rFonts w:ascii="Calibri" w:cs="Calibri" w:eastAsia="Calibri" w:hAnsi="Calibri"/>
          <w:color w:val="15201C"/>
          <w:sz w:val="22"/>
          <w:szCs w:val="22"/>
        </w:rPr>
        <w:t xml:space="preserve">Everything else in this section stands. Wait times are computed from approval and admission dates, which are unaffected.</w:t>
      </w:r>
    </w:p>
    <w:p>
      <w:pPr>
        <w:pStyle w:val="Heading1"/>
        <w:pBdr>
          <w:bottom w:val="single" w:color="058C72" w:sz="8"/>
        </w:pBdr>
        <w:spacing w:after="160" w:before="420"/>
      </w:pPr>
      <w:r>
        <w:rPr>
          <w:rFonts w:ascii="Consolas" w:cs="Consolas" w:eastAsia="Consolas" w:hAnsi="Consolas"/>
          <w:b/>
          <w:bCs/>
          <w:color w:val="058C72"/>
          <w:sz w:val="20"/>
          <w:szCs w:val="20"/>
        </w:rPr>
        <w:t xml:space="preserve">08   </w:t>
      </w:r>
      <w:r>
        <w:rPr>
          <w:rFonts w:ascii="Georgia" w:cs="Georgia" w:eastAsia="Georgia" w:hAnsi="Georgia"/>
          <w:b/>
          <w:bCs/>
          <w:color w:val="15201C"/>
          <w:sz w:val="30"/>
          <w:szCs w:val="30"/>
        </w:rPr>
        <w:t xml:space="preserve">What this does not measure</w:t>
      </w:r>
    </w:p>
    <w:p>
      <w:pPr>
        <w:spacing w:after="140" w:before="0" w:line="276"/>
      </w:pPr>
      <w:r>
        <w:rPr>
          <w:rFonts w:ascii="Calibri" w:cs="Calibri" w:eastAsia="Calibri" w:hAnsi="Calibri"/>
          <w:color w:val="15201C"/>
          <w:sz w:val="22"/>
          <w:szCs w:val="22"/>
        </w:rPr>
        <w:t xml:space="preserve">Three limitations are material to how these figures should be used.</w:t>
      </w:r>
    </w:p>
    <w:p>
      <w:pPr>
        <w:spacing w:after="90" w:before="260"/>
      </w:pPr>
      <w:r>
        <w:rPr>
          <w:rFonts w:ascii="Consolas" w:cs="Consolas" w:eastAsia="Consolas" w:hAnsi="Consolas"/>
          <w:b/>
          <w:bCs/>
          <w:caps/>
          <w:color w:val="5C6862"/>
          <w:spacing w:val="24"/>
          <w:sz w:val="17"/>
          <w:szCs w:val="17"/>
        </w:rPr>
        <w:t xml:space="preserve">People who never received a bed</w:t>
      </w:r>
    </w:p>
    <w:p>
      <w:pPr>
        <w:spacing w:after="140" w:before="0" w:line="276"/>
      </w:pPr>
      <w:r>
        <w:rPr>
          <w:rFonts w:ascii="Calibri" w:cs="Calibri" w:eastAsia="Calibri" w:hAnsi="Calibri"/>
          <w:color w:val="15201C"/>
          <w:sz w:val="22"/>
          <w:szCs w:val="22"/>
        </w:rPr>
        <w:t xml:space="preserve">Everything here is conditioned on placement. Residents still waiting, who withdrew, or who died before a bed became available are not in these counts. Measuring them requires the full waitlist source, which is not yet in hand. </w:t>
      </w:r>
      <w:r>
        <w:rPr>
          <w:rFonts w:ascii="Calibri" w:cs="Calibri" w:eastAsia="Calibri" w:hAnsi="Calibri"/>
          <w:b/>
          <w:bCs/>
          <w:color w:val="15201C"/>
          <w:sz w:val="22"/>
          <w:szCs w:val="22"/>
        </w:rPr>
        <w:t xml:space="preserve">The 317 is therefore local demand that was eventually served — not total local need.</w:t>
      </w:r>
    </w:p>
    <w:p>
      <w:pPr>
        <w:spacing w:after="90" w:before="260"/>
      </w:pPr>
      <w:r>
        <w:rPr>
          <w:rFonts w:ascii="Consolas" w:cs="Consolas" w:eastAsia="Consolas" w:hAnsi="Consolas"/>
          <w:b/>
          <w:bCs/>
          <w:caps/>
          <w:color w:val="5C6862"/>
          <w:spacing w:val="24"/>
          <w:sz w:val="17"/>
          <w:szCs w:val="17"/>
        </w:rPr>
        <w:t xml:space="preserve">Whether displaced residents wanted a Cochrane bed</w:t>
      </w:r>
    </w:p>
    <w:p>
      <w:pPr>
        <w:spacing w:after="140" w:before="0" w:line="276"/>
      </w:pPr>
      <w:r>
        <w:rPr>
          <w:rFonts w:ascii="Calibri" w:cs="Calibri" w:eastAsia="Calibri" w:hAnsi="Calibri"/>
          <w:b/>
          <w:bCs/>
          <w:color w:val="15201C"/>
          <w:sz w:val="22"/>
          <w:szCs w:val="22"/>
        </w:rPr>
        <w:t xml:space="preserve">138 of the 220 residents placed outside Cochrane had formally requested a Cochrane site and were on that waitlist at or before the moment they were placed elsewhere</w:t>
      </w:r>
      <w:r>
        <w:rPr>
          <w:rFonts w:ascii="Calibri" w:cs="Calibri" w:eastAsia="Calibri" w:hAnsi="Calibri"/>
          <w:color w:val="15201C"/>
          <w:sz w:val="22"/>
          <w:szCs w:val="22"/>
        </w:rPr>
        <w:t xml:space="preserve"> — median 70 days waiting, longest 1,358. None joined the list afterwards, so this is displacement rather than hindsight. Because the waitlist record begins 1 April 2021, 138 is a floor.</w:t>
      </w:r>
    </w:p>
    <w:p>
      <w:pPr>
        <w:spacing w:after="140" w:before="0" w:line="276"/>
      </w:pPr>
      <w:r>
        <w:rPr>
          <w:rFonts w:ascii="Calibri" w:cs="Calibri" w:eastAsia="Calibri" w:hAnsi="Calibri"/>
          <w:color w:val="15201C"/>
          <w:sz w:val="22"/>
          <w:szCs w:val="22"/>
        </w:rPr>
        <w:t xml:space="preserve">What cannot be said is how many of the remaining 82 also wanted a local bed. Their preferences are not recorded in the source available.</w:t>
      </w:r>
    </w:p>
    <w:p>
      <w:pPr>
        <w:spacing w:after="90" w:before="260"/>
      </w:pPr>
      <w:r>
        <w:rPr>
          <w:rFonts w:ascii="Consolas" w:cs="Consolas" w:eastAsia="Consolas" w:hAnsi="Consolas"/>
          <w:b/>
          <w:bCs/>
          <w:caps/>
          <w:color w:val="5C6862"/>
          <w:spacing w:val="24"/>
          <w:sz w:val="17"/>
          <w:szCs w:val="17"/>
        </w:rPr>
        <w:t xml:space="preserve">Where they were placed instead</w:t>
      </w:r>
    </w:p>
    <w:p>
      <w:pPr>
        <w:spacing w:after="140" w:before="0" w:line="276"/>
      </w:pPr>
      <w:r>
        <w:rPr>
          <w:rFonts w:ascii="Calibri" w:cs="Calibri" w:eastAsia="Calibri" w:hAnsi="Calibri"/>
          <w:color w:val="15201C"/>
          <w:sz w:val="22"/>
          <w:szCs w:val="22"/>
        </w:rPr>
        <w:t xml:space="preserve">The analysis records whether a placement was in Cochrane, not which community it was in. Naming destinations requires the facility reference table from the health authority.</w:t>
      </w:r>
    </w:p>
    <w:p>
      <w:pPr>
        <w:spacing w:after="12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58C72" w:sz="18"/>
              <w:bottom w:val="none" w:color="FFFFFF" w:sz="0"/>
              <w:right w:val="none" w:color="FFFFFF" w:sz="0"/>
            </w:tcBorders>
            <w:shd w:fill="EAF3F0" w:color="auto" w:val="clear"/>
            <w:tcMar>
              <w:top w:type="dxa" w:w="180"/>
              <w:left w:type="dxa" w:w="200"/>
              <w:bottom w:type="dxa" w:w="180"/>
              <w:right w:type="dxa" w:w="200"/>
            </w:tcMar>
          </w:tcPr>
          <w:p>
            <w:pPr>
              <w:spacing w:after="90"/>
            </w:pPr>
            <w:r>
              <w:rPr>
                <w:rFonts w:ascii="Consolas" w:cs="Consolas" w:eastAsia="Consolas" w:hAnsi="Consolas"/>
                <w:b/>
                <w:bCs/>
                <w:caps/>
                <w:color w:val="058C72"/>
                <w:spacing w:val="26"/>
                <w:sz w:val="16"/>
                <w:szCs w:val="16"/>
              </w:rPr>
              <w:t xml:space="preserve">Direction of error</w:t>
            </w:r>
          </w:p>
          <w:p>
            <w:pPr>
              <w:spacing w:after="90" w:line="276"/>
            </w:pPr>
            <w:r>
              <w:rPr>
                <w:rFonts w:ascii="Calibri" w:cs="Calibri" w:eastAsia="Calibri" w:hAnsi="Calibri"/>
                <w:color w:val="15201C"/>
                <w:sz w:val="21"/>
                <w:szCs w:val="21"/>
              </w:rPr>
              <w:t xml:space="preserve">Cohort C — residents placed elsewhere — is identified only through a registry address. Gaps in registry coverage can therefore only </w:t>
            </w:r>
            <w:r>
              <w:rPr>
                <w:rFonts w:ascii="Calibri" w:cs="Calibri" w:eastAsia="Calibri" w:hAnsi="Calibri"/>
                <w:b/>
                <w:bCs/>
                <w:color w:val="15201C"/>
                <w:sz w:val="21"/>
                <w:szCs w:val="21"/>
              </w:rPr>
              <w:t xml:space="preserve">understate</w:t>
            </w:r>
            <w:r>
              <w:rPr>
                <w:rFonts w:ascii="Calibri" w:cs="Calibri" w:eastAsia="Calibri" w:hAnsi="Calibri"/>
                <w:color w:val="15201C"/>
                <w:sz w:val="21"/>
                <w:szCs w:val="21"/>
              </w:rPr>
              <w:t xml:space="preserve"> displacement, never inflate it. The 69.4% is a floor.</w:t>
            </w:r>
          </w:p>
        </w:tc>
      </w:tr>
    </w:tbl>
    <w:p>
      <w:pPr>
        <w:pStyle w:val="Heading1"/>
        <w:pBdr>
          <w:bottom w:val="single" w:color="058C72" w:sz="8"/>
        </w:pBdr>
        <w:spacing w:after="160" w:before="420"/>
      </w:pPr>
      <w:r>
        <w:rPr>
          <w:rFonts w:ascii="Consolas" w:cs="Consolas" w:eastAsia="Consolas" w:hAnsi="Consolas"/>
          <w:b/>
          <w:bCs/>
          <w:color w:val="058C72"/>
          <w:sz w:val="20"/>
          <w:szCs w:val="20"/>
        </w:rPr>
        <w:t xml:space="preserve">09   </w:t>
      </w:r>
      <w:r>
        <w:rPr>
          <w:rFonts w:ascii="Georgia" w:cs="Georgia" w:eastAsia="Georgia" w:hAnsi="Georgia"/>
          <w:b/>
          <w:bCs/>
          <w:color w:val="15201C"/>
          <w:sz w:val="30"/>
          <w:szCs w:val="30"/>
        </w:rPr>
        <w:t xml:space="preserve">Validation</w:t>
      </w:r>
    </w:p>
    <w:p>
      <w:pPr>
        <w:spacing w:after="140" w:before="0" w:line="276"/>
      </w:pPr>
      <w:r>
        <w:rPr>
          <w:rFonts w:ascii="Calibri" w:cs="Calibri" w:eastAsia="Calibri" w:hAnsi="Calibri"/>
          <w:color w:val="15201C"/>
          <w:sz w:val="22"/>
          <w:szCs w:val="22"/>
        </w:rPr>
        <w:t xml:space="preserve">Every figure in this paper is reproducible from a single query and a client-level extract, both of which have been checked independently.</w:t>
      </w:r>
    </w:p>
    <w:p>
      <w:pPr>
        <w:spacing w:after="90" w:before="260"/>
      </w:pPr>
      <w:r>
        <w:rPr>
          <w:rFonts w:ascii="Consolas" w:cs="Consolas" w:eastAsia="Consolas" w:hAnsi="Consolas"/>
          <w:b/>
          <w:bCs/>
          <w:caps/>
          <w:color w:val="5C6862"/>
          <w:spacing w:val="24"/>
          <w:sz w:val="17"/>
          <w:szCs w:val="17"/>
        </w:rPr>
        <w:t xml:space="preserve">Integrity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700"/>
        <w:gridCol w:w="2100"/>
      </w:tblGrid>
      <w:tr>
        <w:trPr>
          <w:tblHeader/>
        </w:trPr>
        <w:tc>
          <w:tcPr>
            <w:tcW w:type="dxa" w:w="556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left"/>
            </w:pPr>
            <w:r>
              <w:rPr>
                <w:rFonts w:ascii="Consolas" w:cs="Consolas" w:eastAsia="Consolas" w:hAnsi="Consolas"/>
                <w:b/>
                <w:bCs/>
                <w:color w:val="5C6862"/>
                <w:sz w:val="16"/>
                <w:szCs w:val="16"/>
              </w:rPr>
              <w:t xml:space="preserve">Check</w:t>
            </w:r>
          </w:p>
        </w:tc>
        <w:tc>
          <w:tcPr>
            <w:tcW w:type="dxa" w:w="17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right"/>
            </w:pPr>
            <w:r>
              <w:rPr>
                <w:rFonts w:ascii="Consolas" w:cs="Consolas" w:eastAsia="Consolas" w:hAnsi="Consolas"/>
                <w:b/>
                <w:bCs/>
                <w:color w:val="5C6862"/>
                <w:sz w:val="16"/>
                <w:szCs w:val="16"/>
              </w:rPr>
              <w:t xml:space="preserve">Required</w:t>
            </w:r>
          </w:p>
        </w:tc>
        <w:tc>
          <w:tcPr>
            <w:tcW w:type="dxa" w:w="21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right"/>
            </w:pPr>
            <w:r>
              <w:rPr>
                <w:rFonts w:ascii="Consolas" w:cs="Consolas" w:eastAsia="Consolas" w:hAnsi="Consolas"/>
                <w:b/>
                <w:bCs/>
                <w:color w:val="5C6862"/>
                <w:sz w:val="16"/>
                <w:szCs w:val="16"/>
              </w:rPr>
              <w:t xml:space="preserve">Result</w:t>
            </w:r>
          </w:p>
        </w:tc>
      </w:tr>
      <w:tr>
        <w:tc>
          <w:tcPr>
            <w:tcW w:type="dxa" w:w="556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left"/>
            </w:pPr>
            <w:r>
              <w:rPr>
                <w:rFonts w:ascii="Calibri" w:cs="Calibri" w:eastAsia="Calibri" w:hAnsi="Calibri"/>
                <w:color w:val="15201C"/>
                <w:sz w:val="20"/>
                <w:szCs w:val="20"/>
              </w:rPr>
              <w:t xml:space="preserve">Every demand record is that person’s first-ever residential admission</w:t>
            </w:r>
          </w:p>
        </w:tc>
        <w:tc>
          <w:tcPr>
            <w:tcW w:type="dxa" w:w="17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100%</w:t>
            </w:r>
          </w:p>
        </w:tc>
        <w:tc>
          <w:tcPr>
            <w:tcW w:type="dxa" w:w="21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b/>
                <w:bCs/>
                <w:color w:val="058C72"/>
                <w:sz w:val="20"/>
                <w:szCs w:val="20"/>
              </w:rPr>
              <w:t xml:space="preserve">100%</w:t>
            </w:r>
          </w:p>
        </w:tc>
      </w:tr>
      <w:tr>
        <w:tc>
          <w:tcPr>
            <w:tcW w:type="dxa" w:w="556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left"/>
            </w:pPr>
            <w:r>
              <w:rPr>
                <w:rFonts w:ascii="Calibri" w:cs="Calibri" w:eastAsia="Calibri" w:hAnsi="Calibri"/>
                <w:color w:val="15201C"/>
                <w:sz w:val="20"/>
                <w:szCs w:val="20"/>
              </w:rPr>
              <w:t xml:space="preserve">Demand population is one row per person</w:t>
            </w:r>
          </w:p>
        </w:tc>
        <w:tc>
          <w:tcPr>
            <w:tcW w:type="dxa" w:w="17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equal</w:t>
            </w:r>
          </w:p>
        </w:tc>
        <w:tc>
          <w:tcPr>
            <w:tcW w:type="dxa" w:w="21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b/>
                <w:bCs/>
                <w:color w:val="058C72"/>
                <w:sz w:val="20"/>
                <w:szCs w:val="20"/>
              </w:rPr>
              <w:t xml:space="preserve">546 / 546</w:t>
            </w:r>
          </w:p>
        </w:tc>
      </w:tr>
      <w:tr>
        <w:tc>
          <w:tcPr>
            <w:tcW w:type="dxa" w:w="556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left"/>
            </w:pPr>
            <w:r>
              <w:rPr>
                <w:rFonts w:ascii="Calibri" w:cs="Calibri" w:eastAsia="Calibri" w:hAnsi="Calibri"/>
                <w:color w:val="15201C"/>
                <w:sz w:val="20"/>
                <w:szCs w:val="20"/>
              </w:rPr>
              <w:t xml:space="preserve">Registry linkage rate</w:t>
            </w:r>
          </w:p>
        </w:tc>
        <w:tc>
          <w:tcPr>
            <w:tcW w:type="dxa" w:w="17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high</w:t>
            </w:r>
          </w:p>
        </w:tc>
        <w:tc>
          <w:tcPr>
            <w:tcW w:type="dxa" w:w="21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b/>
                <w:bCs/>
                <w:color w:val="058C72"/>
                <w:sz w:val="20"/>
                <w:szCs w:val="20"/>
              </w:rPr>
              <w:t xml:space="preserve">100%</w:t>
            </w:r>
          </w:p>
        </w:tc>
      </w:tr>
      <w:tr>
        <w:tc>
          <w:tcPr>
            <w:tcW w:type="dxa" w:w="556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left"/>
            </w:pPr>
            <w:r>
              <w:rPr>
                <w:rFonts w:ascii="Calibri" w:cs="Calibri" w:eastAsia="Calibri" w:hAnsi="Calibri"/>
                <w:color w:val="15201C"/>
                <w:sz w:val="20"/>
                <w:szCs w:val="20"/>
              </w:rPr>
              <w:t xml:space="preserve">Duplicate person identifiers</w:t>
            </w:r>
          </w:p>
        </w:tc>
        <w:tc>
          <w:tcPr>
            <w:tcW w:type="dxa" w:w="17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none</w:t>
            </w:r>
          </w:p>
        </w:tc>
        <w:tc>
          <w:tcPr>
            <w:tcW w:type="dxa" w:w="21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b/>
                <w:bCs/>
                <w:color w:val="058C72"/>
                <w:sz w:val="20"/>
                <w:szCs w:val="20"/>
              </w:rPr>
              <w:t xml:space="preserve">0</w:t>
            </w:r>
          </w:p>
        </w:tc>
      </w:tr>
      <w:tr>
        <w:tc>
          <w:tcPr>
            <w:tcW w:type="dxa" w:w="556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left"/>
            </w:pPr>
            <w:r>
              <w:rPr>
                <w:rFonts w:ascii="Calibri" w:cs="Calibri" w:eastAsia="Calibri" w:hAnsi="Calibri"/>
                <w:color w:val="15201C"/>
                <w:sz w:val="20"/>
                <w:szCs w:val="20"/>
              </w:rPr>
              <w:t xml:space="preserve">Admissions with no computable wait clock</w:t>
            </w:r>
          </w:p>
        </w:tc>
        <w:tc>
          <w:tcPr>
            <w:tcW w:type="dxa" w:w="17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none</w:t>
            </w:r>
          </w:p>
        </w:tc>
        <w:tc>
          <w:tcPr>
            <w:tcW w:type="dxa" w:w="21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b/>
                <w:bCs/>
                <w:color w:val="058C72"/>
                <w:sz w:val="20"/>
                <w:szCs w:val="20"/>
              </w:rPr>
              <w:t xml:space="preserve">0</w:t>
            </w:r>
          </w:p>
        </w:tc>
      </w:tr>
      <w:tr>
        <w:tc>
          <w:tcPr>
            <w:tcW w:type="dxa" w:w="556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left"/>
            </w:pPr>
            <w:r>
              <w:rPr>
                <w:rFonts w:ascii="Calibri" w:cs="Calibri" w:eastAsia="Calibri" w:hAnsi="Calibri"/>
                <w:color w:val="15201C"/>
                <w:sz w:val="20"/>
                <w:szCs w:val="20"/>
              </w:rPr>
              <w:t xml:space="preserve">Residence verdicts on 10+ years of registry history</w:t>
            </w:r>
          </w:p>
        </w:tc>
        <w:tc>
          <w:tcPr>
            <w:tcW w:type="dxa" w:w="17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majority</w:t>
            </w:r>
          </w:p>
        </w:tc>
        <w:tc>
          <w:tcPr>
            <w:tcW w:type="dxa" w:w="21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86.4%</w:t>
            </w:r>
          </w:p>
        </w:tc>
      </w:tr>
      <w:tr>
        <w:tc>
          <w:tcPr>
            <w:tcW w:type="dxa" w:w="556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left"/>
            </w:pPr>
            <w:r>
              <w:rPr>
                <w:rFonts w:ascii="Calibri" w:cs="Calibri" w:eastAsia="Calibri" w:hAnsi="Calibri"/>
                <w:color w:val="15201C"/>
                <w:sz w:val="20"/>
                <w:szCs w:val="20"/>
              </w:rPr>
              <w:t xml:space="preserve">Residence verdicts on under 5 years of history</w:t>
            </w:r>
          </w:p>
        </w:tc>
        <w:tc>
          <w:tcPr>
            <w:tcW w:type="dxa" w:w="17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minority</w:t>
            </w:r>
          </w:p>
        </w:tc>
        <w:tc>
          <w:tcPr>
            <w:tcW w:type="dxa" w:w="2100"/>
            <w:tcBorders>
              <w:top w:val="single" w:color="D9DEDA" w:sz="4"/>
              <w:left w:val="single" w:color="D9DEDA" w:sz="4"/>
              <w:bottom w:val="single" w:color="D9DEDA" w:sz="4"/>
              <w:right w:val="single" w:color="D9DEDA" w:sz="4"/>
            </w:tcBorders>
            <w:tcMar>
              <w:top w:type="dxa" w:w="90"/>
              <w:left w:type="dxa" w:w="130"/>
              <w:bottom w:type="dxa" w:w="90"/>
              <w:right w:type="dxa" w:w="130"/>
            </w:tcMar>
          </w:tcPr>
          <w:p>
            <w:pPr>
              <w:spacing w:after="0" w:line="264"/>
              <w:jc w:val="right"/>
            </w:pPr>
            <w:r>
              <w:rPr>
                <w:rFonts w:ascii="Calibri" w:cs="Calibri" w:eastAsia="Calibri" w:hAnsi="Calibri"/>
                <w:color w:val="15201C"/>
                <w:sz w:val="20"/>
                <w:szCs w:val="20"/>
              </w:rPr>
              <w:t xml:space="preserve">5.0%</w:t>
            </w:r>
          </w:p>
        </w:tc>
      </w:tr>
      <w:tr>
        <w:tc>
          <w:tcPr>
            <w:tcW w:type="dxa" w:w="556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left"/>
            </w:pPr>
            <w:r>
              <w:rPr>
                <w:rFonts w:ascii="Calibri" w:cs="Calibri" w:eastAsia="Calibri" w:hAnsi="Calibri"/>
                <w:b/>
                <w:bCs/>
                <w:color w:val="15201C"/>
                <w:sz w:val="20"/>
                <w:szCs w:val="20"/>
              </w:rPr>
              <w:t xml:space="preserve">Total in scope</w:t>
            </w:r>
          </w:p>
        </w:tc>
        <w:tc>
          <w:tcPr>
            <w:tcW w:type="dxa" w:w="17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right"/>
            </w:pPr>
            <w:r>
              <w:rPr>
                <w:rFonts w:ascii="Calibri" w:cs="Calibri" w:eastAsia="Calibri" w:hAnsi="Calibri"/>
                <w:b/>
                <w:bCs/>
                <w:color w:val="15201C"/>
                <w:sz w:val="20"/>
                <w:szCs w:val="20"/>
              </w:rPr>
              <w:t xml:space="preserve">—</w:t>
            </w:r>
          </w:p>
        </w:tc>
        <w:tc>
          <w:tcPr>
            <w:tcW w:type="dxa" w:w="2100"/>
            <w:tcBorders>
              <w:top w:val="single" w:color="D9DEDA" w:sz="4"/>
              <w:left w:val="single" w:color="D9DEDA" w:sz="4"/>
              <w:bottom w:val="single" w:color="D9DEDA" w:sz="4"/>
              <w:right w:val="single" w:color="D9DEDA" w:sz="4"/>
            </w:tcBorders>
            <w:shd w:fill="F1F5F3" w:color="auto" w:val="clear"/>
            <w:tcMar>
              <w:top w:type="dxa" w:w="90"/>
              <w:left w:type="dxa" w:w="130"/>
              <w:bottom w:type="dxa" w:w="90"/>
              <w:right w:type="dxa" w:w="130"/>
            </w:tcMar>
          </w:tcPr>
          <w:p>
            <w:pPr>
              <w:spacing w:after="0" w:line="264"/>
              <w:jc w:val="right"/>
            </w:pPr>
            <w:r>
              <w:rPr>
                <w:rFonts w:ascii="Calibri" w:cs="Calibri" w:eastAsia="Calibri" w:hAnsi="Calibri"/>
                <w:b/>
                <w:bCs/>
                <w:color w:val="15201C"/>
                <w:sz w:val="20"/>
                <w:szCs w:val="20"/>
              </w:rPr>
              <w:t xml:space="preserve">636 people · 776 admissions</w:t>
            </w:r>
          </w:p>
        </w:tc>
      </w:tr>
    </w:tbl>
    <w:p>
      <w:pPr>
        <w:spacing w:after="160"/>
      </w:pPr>
      <w:r>
        <w:rPr>
          <w:sz w:val="2"/>
          <w:szCs w:val="2"/>
        </w:rPr>
        <w:t xml:space="preserve"/>
      </w:r>
    </w:p>
    <w:p>
      <w:pPr>
        <w:spacing w:after="140" w:before="0" w:line="276"/>
      </w:pPr>
      <w:r>
        <w:rPr>
          <w:rFonts w:ascii="Calibri" w:cs="Calibri" w:eastAsia="Calibri" w:hAnsi="Calibri"/>
          <w:color w:val="15201C"/>
          <w:sz w:val="22"/>
          <w:szCs w:val="22"/>
        </w:rPr>
        <w:t xml:space="preserve">A further 50 people were excluded from the demand figures because they had already entered residential care before the window opened; their in-window admission is a later placement, not a first one. They remain in the capacity figures, because they still occupy a bed.</w:t>
      </w:r>
    </w:p>
    <w:p>
      <w:pPr>
        <w:pStyle w:val="Heading1"/>
        <w:pBdr>
          <w:bottom w:val="single" w:color="058C72" w:sz="8"/>
        </w:pBdr>
        <w:spacing w:after="160" w:before="420"/>
      </w:pPr>
      <w:r>
        <w:rPr>
          <w:rFonts w:ascii="Consolas" w:cs="Consolas" w:eastAsia="Consolas" w:hAnsi="Consolas"/>
          <w:b/>
          <w:bCs/>
          <w:color w:val="058C72"/>
          <w:sz w:val="20"/>
          <w:szCs w:val="20"/>
        </w:rPr>
        <w:t xml:space="preserve">10   </w:t>
      </w:r>
      <w:r>
        <w:rPr>
          <w:rFonts w:ascii="Georgia" w:cs="Georgia" w:eastAsia="Georgia" w:hAnsi="Georgia"/>
          <w:b/>
          <w:bCs/>
          <w:color w:val="15201C"/>
          <w:sz w:val="30"/>
          <w:szCs w:val="30"/>
        </w:rPr>
        <w:t xml:space="preserve">What would strengthen this</w:t>
      </w:r>
    </w:p>
    <w:p>
      <w:pPr>
        <w:spacing w:after="140" w:before="0" w:line="276"/>
      </w:pPr>
      <w:r>
        <w:rPr>
          <w:rFonts w:ascii="Calibri" w:cs="Calibri" w:eastAsia="Calibri" w:hAnsi="Calibri"/>
          <w:color w:val="15201C"/>
          <w:sz w:val="22"/>
          <w:szCs w:val="22"/>
        </w:rPr>
        <w:t xml:space="preserve">Two additions would materially improve the case, in this order.</w:t>
      </w:r>
    </w:p>
    <w:p>
      <w:pPr>
        <w:spacing w:after="90" w:before="260"/>
      </w:pPr>
      <w:r>
        <w:rPr>
          <w:rFonts w:ascii="Consolas" w:cs="Consolas" w:eastAsia="Consolas" w:hAnsi="Consolas"/>
          <w:b/>
          <w:bCs/>
          <w:caps/>
          <w:color w:val="5C6862"/>
          <w:spacing w:val="24"/>
          <w:sz w:val="17"/>
          <w:szCs w:val="17"/>
        </w:rPr>
        <w:t xml:space="preserve">A population denominator</w:t>
      </w:r>
    </w:p>
    <w:p>
      <w:pPr>
        <w:spacing w:after="140" w:before="0" w:line="276"/>
      </w:pPr>
      <w:r>
        <w:rPr>
          <w:rFonts w:ascii="Calibri" w:cs="Calibri" w:eastAsia="Calibri" w:hAnsi="Calibri"/>
          <w:color w:val="15201C"/>
          <w:sz w:val="22"/>
          <w:szCs w:val="22"/>
        </w:rPr>
        <w:t xml:space="preserve">The registry can supply the number of Cochrane residents aged 75 and over in each year. That converts 63 placements a year into a </w:t>
      </w:r>
      <w:r>
        <w:rPr>
          <w:rFonts w:ascii="Calibri" w:cs="Calibri" w:eastAsia="Calibri" w:hAnsi="Calibri"/>
          <w:b/>
          <w:bCs/>
          <w:color w:val="15201C"/>
          <w:sz w:val="22"/>
          <w:szCs w:val="22"/>
        </w:rPr>
        <w:t xml:space="preserve">rate</w:t>
      </w:r>
      <w:r>
        <w:rPr>
          <w:rFonts w:ascii="Calibri" w:cs="Calibri" w:eastAsia="Calibri" w:hAnsi="Calibri"/>
          <w:color w:val="15201C"/>
          <w:sz w:val="22"/>
          <w:szCs w:val="22"/>
        </w:rPr>
        <w:t xml:space="preserve"> — admissions per 1,000 seniors — which can be benchmarked against comparable Alberta communities and projected forward against Cochrane’s growth. For a capital decision this is the single most useful number not yet in hand, and it requires no external request.</w:t>
      </w:r>
    </w:p>
    <w:p>
      <w:pPr>
        <w:spacing w:after="90" w:before="260"/>
      </w:pPr>
      <w:r>
        <w:rPr>
          <w:rFonts w:ascii="Consolas" w:cs="Consolas" w:eastAsia="Consolas" w:hAnsi="Consolas"/>
          <w:b/>
          <w:bCs/>
          <w:caps/>
          <w:color w:val="5C6862"/>
          <w:spacing w:val="24"/>
          <w:sz w:val="17"/>
          <w:szCs w:val="17"/>
        </w:rPr>
        <w:t xml:space="preserve">The waitlist source</w:t>
      </w:r>
    </w:p>
    <w:p>
      <w:pPr>
        <w:spacing w:after="140" w:before="0" w:line="276"/>
      </w:pPr>
      <w:r>
        <w:rPr>
          <w:rFonts w:ascii="Calibri" w:cs="Calibri" w:eastAsia="Calibri" w:hAnsi="Calibri"/>
          <w:color w:val="15201C"/>
          <w:sz w:val="22"/>
          <w:szCs w:val="22"/>
        </w:rPr>
        <w:t xml:space="preserve">Waitlist entry, exit and closure reason would add the fourth cohort — residents who never received a placement. The preference records behind the 138 displaced residents in Section 08 begin only on 1 April 2021; the full history would turn that floor into a count.</w:t>
      </w:r>
    </w:p>
    <w:p>
      <w:pPr>
        <w:spacing w:after="300"/>
      </w:pPr>
      <w:r>
        <w:rPr>
          <w:sz w:val="2"/>
          <w:szCs w:val="2"/>
        </w:rPr>
        <w:t xml:space="preserve"/>
      </w:r>
    </w:p>
    <w:p>
      <w:pPr>
        <w:pBdr>
          <w:top w:val="single" w:color="D9DEDA" w:sz="4"/>
        </w:pBdr>
        <w:spacing w:after="60" w:before="240"/>
      </w:pPr>
      <w:r>
        <w:rPr>
          <w:sz w:val="8"/>
          <w:szCs w:val="8"/>
        </w:rPr>
        <w:t xml:space="preserve"> </w:t>
      </w:r>
    </w:p>
    <w:p>
      <w:pPr>
        <w:spacing w:after="40" w:before="0" w:line="276"/>
      </w:pPr>
      <w:r>
        <w:rPr>
          <w:rFonts w:ascii="Consolas" w:cs="Consolas" w:eastAsia="Consolas" w:hAnsi="Consolas"/>
          <w:color w:val="5C6862"/>
          <w:sz w:val="15"/>
          <w:szCs w:val="15"/>
        </w:rPr>
        <w:t xml:space="preserve">Analysis period FY2022–FY2026  ·  Type A and Type B continuing care  ·  Town of Cochrane census subdivision</w:t>
      </w:r>
    </w:p>
    <w:p>
      <w:pPr>
        <w:spacing w:after="40" w:before="0" w:line="276"/>
      </w:pPr>
      <w:r>
        <w:rPr>
          <w:rFonts w:ascii="Consolas" w:cs="Consolas" w:eastAsia="Consolas" w:hAnsi="Consolas"/>
          <w:color w:val="5C6862"/>
          <w:sz w:val="15"/>
          <w:szCs w:val="15"/>
        </w:rPr>
        <w:t xml:space="preserve">Sources: continuing care placement records; Alberta provincial registry; Alberta postal code reference</w:t>
      </w:r>
    </w:p>
    <w:p>
      <w:pPr>
        <w:spacing w:after="140" w:before="0" w:line="276"/>
      </w:pPr>
      <w:r>
        <w:rPr>
          <w:rFonts w:ascii="Consolas" w:cs="Consolas" w:eastAsia="Consolas" w:hAnsi="Consolas"/>
          <w:color w:val="5C6862"/>
          <w:sz w:val="15"/>
          <w:szCs w:val="15"/>
        </w:rPr>
        <w:t xml:space="preserve">Person-level detail available on request. All figures reproducible from the documented extraction query.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A" w:sz="4"/>
      </w:pBdr>
      <w:spacing w:before="200"/>
      <w:jc w:val="right"/>
    </w:pPr>
    <w:r>
      <w:rPr>
        <w:rFonts w:ascii="Consolas" w:cs="Consolas" w:eastAsia="Consolas" w:hAnsi="Consolas"/>
        <w:color w:val="5C6862"/>
        <w:sz w:val="15"/>
        <w:szCs w:val="15"/>
      </w:rPr>
      <w:t xml:space="preserve">Where Cochrane Residents Are Placed   ·   </w:t>
    </w:r>
    <w:r>
      <w:rPr>
        <w:rFonts w:ascii="Consolas" w:cs="Consolas" w:eastAsia="Consolas" w:hAnsi="Consolas"/>
        <w:color w:val="5C686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0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Cochrane Residents Are Placed</dc:title>
  <dc:creator>Continuing Care Planning</dc:creator>
  <dc:description>Five-year analysis of continuing care demand and capacity use, FY2022-26</dc:description>
  <cp:lastModifiedBy>Un-named</cp:lastModifiedBy>
  <cp:revision>1</cp:revision>
  <dcterms:created xsi:type="dcterms:W3CDTF">2026-09-01T17:36:53.285Z</dcterms:created>
  <dcterms:modified xsi:type="dcterms:W3CDTF">2026-09-01T17:36:53.286Z</dcterms:modified>
</cp:coreProperties>
</file>

<file path=docProps/custom.xml><?xml version="1.0" encoding="utf-8"?>
<Properties xmlns="http://schemas.openxmlformats.org/officeDocument/2006/custom-properties" xmlns:vt="http://schemas.openxmlformats.org/officeDocument/2006/docPropsVTypes"/>
</file>