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F4E79"/>
          <w:sz w:val="40"/>
        </w:rPr>
        <w:t>XAI &amp; RAI Comparative Analysis Across Detection Scenarios</w:t>
      </w:r>
    </w:p>
    <w:p>
      <w:pPr>
        <w:spacing w:after="480"/>
      </w:pPr>
      <w:r>
        <w:rPr>
          <w:rFonts w:ascii="Arial" w:hAnsi="Arial"/>
          <w:i/>
          <w:color w:val="595959"/>
          <w:sz w:val="24"/>
        </w:rPr>
        <w:t>Comprehensive Evaluation of Isolation Forest and Autoencoder Models in SOC Automated Governance</w:t>
      </w:r>
    </w:p>
    <w:p>
      <w:pPr>
        <w:pStyle w:val="Heading1"/>
        <w:spacing w:before="240" w:after="120"/>
      </w:pPr>
      <w:r>
        <w:rPr>
          <w:rFonts w:ascii="Arial" w:hAnsi="Arial"/>
          <w:color w:val="1F4E79"/>
          <w:sz w:val="28"/>
        </w:rPr>
        <w:t>1. Executive Summary &amp; Scenario Breakdown</w:t>
      </w:r>
    </w:p>
    <w:p>
      <w:pPr>
        <w:spacing w:after="120"/>
      </w:pPr>
      <w:r>
        <w:rPr>
          <w:rFonts w:ascii="Arial" w:hAnsi="Arial"/>
          <w:b/>
          <w:color w:val="333333"/>
          <w:sz w:val="21"/>
        </w:rPr>
        <w:t xml:space="preserve">• Scenario A: Both Alert (Agreement on Anomaly): </w:t>
      </w:r>
      <w:r>
        <w:rPr>
          <w:rFonts w:ascii="Arial" w:hAnsi="Arial"/>
          <w:color w:val="333333"/>
          <w:sz w:val="21"/>
        </w:rPr>
        <w:t>Isolation Forest flagged an anomaly with score 0.1770, but required human approval due to a high fairness gap (47.6%). Autoencoder flagged the anomaly with a reconstruction error of 0.0638 and was approved for automated containment given its robust trust thresholds (fairness gap 7.2%, FPR 8.6%).</w:t>
      </w:r>
    </w:p>
    <w:p>
      <w:pPr>
        <w:spacing w:after="120"/>
      </w:pPr>
      <w:r>
        <w:rPr>
          <w:rFonts w:ascii="Arial" w:hAnsi="Arial"/>
          <w:b/>
          <w:color w:val="333333"/>
          <w:sz w:val="21"/>
        </w:rPr>
        <w:t xml:space="preserve">• Scenario B: Isolation Forest ONLY (Disagreement): </w:t>
      </w:r>
      <w:r>
        <w:rPr>
          <w:rFonts w:ascii="Arial" w:hAnsi="Arial"/>
          <w:color w:val="333333"/>
          <w:sz w:val="21"/>
        </w:rPr>
        <w:t>Isolation Forest flagged an anomaly (score 0.1276) backed by negative SHAP values, but governance denied automated containment due to the 47.6% fairness gap. Autoencoder classified the event as normal (reconstruction error 0.0437), resulting in no containment action from its side.</w:t>
      </w:r>
    </w:p>
    <w:p>
      <w:pPr>
        <w:spacing w:after="120"/>
      </w:pPr>
      <w:r>
        <w:rPr>
          <w:rFonts w:ascii="Arial" w:hAnsi="Arial"/>
          <w:b/>
          <w:color w:val="333333"/>
          <w:sz w:val="21"/>
        </w:rPr>
        <w:t xml:space="preserve">• Scenario C: Autoencoder ONLY (Disagreement): </w:t>
      </w:r>
      <w:r>
        <w:rPr>
          <w:rFonts w:ascii="Arial" w:hAnsi="Arial"/>
          <w:color w:val="333333"/>
          <w:sz w:val="21"/>
        </w:rPr>
        <w:t>Isolation Forest classified the event as normal (score 0.0498). Autoencoder triggered a strong anomaly alert (reconstruction error 1.1034) driven by extreme reconstruction errors in num_root (+47.33) and num_compromised (+40.79), securing automated containment approval under strict RAI criteria.</w:t>
      </w:r>
    </w:p>
    <w:p>
      <w:pPr>
        <w:spacing w:after="120"/>
      </w:pPr>
      <w:r>
        <w:rPr>
          <w:rFonts w:ascii="Arial" w:hAnsi="Arial"/>
          <w:b/>
          <w:color w:val="333333"/>
          <w:sz w:val="21"/>
        </w:rPr>
        <w:t xml:space="preserve">• Scenario D: Both Normal (Agreement on Benign): </w:t>
      </w:r>
      <w:r>
        <w:rPr>
          <w:rFonts w:ascii="Arial" w:hAnsi="Arial"/>
          <w:color w:val="333333"/>
          <w:sz w:val="21"/>
        </w:rPr>
        <w:t>Both models achieved strong consensus that the event is normal, exhibiting low scores (Isolation Forest score 0.0033, Autoencoder error 0.0119). Consequently, no automated containment or human intervention was required.</w:t>
      </w:r>
    </w:p>
    <w:p>
      <w:pPr>
        <w:pStyle w:val="Heading1"/>
        <w:spacing w:before="320" w:after="120"/>
      </w:pPr>
      <w:r>
        <w:rPr>
          <w:rFonts w:ascii="Arial" w:hAnsi="Arial"/>
          <w:color w:val="1F4E79"/>
          <w:sz w:val="28"/>
        </w:rPr>
        <w:t>2. Feature &amp; XAI Mechanics Comparison</w:t>
      </w:r>
    </w:p>
    <w:p>
      <w:pPr>
        <w:spacing w:after="160"/>
      </w:pPr>
      <w:r>
        <w:rPr>
          <w:rFonts w:ascii="Arial" w:hAnsi="Arial"/>
          <w:color w:val="333333"/>
          <w:sz w:val="21"/>
        </w:rPr>
        <w:t>The XAI layer extracts model-specific evidence without exposing raw model internals to orchestrators. Isolation Forest utilizes SHAP values to display signed contributions indicating whether features pushed the sample toward an anomaly. Conversely, Autoencoder relies on per-feature reconstruction error vectors, quantifying exactly how much each feature deviated from expected baseline normality.</w:t>
      </w:r>
    </w:p>
    <w:p>
      <w:pPr>
        <w:pStyle w:val="Heading1"/>
        <w:spacing w:before="320" w:after="160"/>
      </w:pPr>
      <w:r>
        <w:rPr>
          <w:rFonts w:ascii="Arial" w:hAnsi="Arial"/>
          <w:color w:val="1F4E79"/>
          <w:sz w:val="28"/>
        </w:rPr>
        <w:t>3. Comprehensive Comparative Matrix (XAI &amp; Responsible AI)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rPr>
          <w:cantSplit/>
          <w:tblHeader/>
        </w:trPr>
        <w:tc>
          <w:tcPr>
            <w:tcW w:type="dxa" w:w="1296"/>
            <w:shd w:fill="1F4E79"/>
            <w:tcMar>
              <w:top w:w="120" w:type="dxa"/>
              <w:bottom w:w="120" w:type="dxa"/>
              <w:left w:w="100" w:type="dxa"/>
              <w:right w:w="100" w:type="dxa"/>
            </w:tcMar>
          </w:tcPr>
          <w:p>
            <w:pPr>
              <w:spacing w:before="60" w:after="60"/>
              <w:jc w:val="left"/>
            </w:pPr>
            <w:r>
              <w:rPr>
                <w:rFonts w:ascii="Arial" w:hAnsi="Arial"/>
                <w:b/>
                <w:color w:val="FFFFFF"/>
                <w:sz w:val="18"/>
              </w:rPr>
              <w:t>Scenario</w:t>
            </w:r>
          </w:p>
        </w:tc>
        <w:tc>
          <w:tcPr>
            <w:tcW w:type="dxa" w:w="1440"/>
            <w:shd w:fill="1F4E79"/>
            <w:tcMar>
              <w:top w:w="120" w:type="dxa"/>
              <w:bottom w:w="120" w:type="dxa"/>
              <w:left w:w="100" w:type="dxa"/>
              <w:right w:w="100" w:type="dxa"/>
            </w:tcMar>
          </w:tcPr>
          <w:p>
            <w:pPr>
              <w:spacing w:before="60" w:after="60"/>
              <w:jc w:val="left"/>
            </w:pPr>
            <w:r>
              <w:rPr>
                <w:rFonts w:ascii="Arial" w:hAnsi="Arial"/>
                <w:b/>
                <w:color w:val="FFFFFF"/>
                <w:sz w:val="18"/>
              </w:rPr>
              <w:t>Triggering Model</w:t>
            </w:r>
          </w:p>
        </w:tc>
        <w:tc>
          <w:tcPr>
            <w:tcW w:type="dxa" w:w="1584"/>
            <w:shd w:fill="1F4E79"/>
            <w:tcMar>
              <w:top w:w="120" w:type="dxa"/>
              <w:bottom w:w="120" w:type="dxa"/>
              <w:left w:w="100" w:type="dxa"/>
              <w:right w:w="100" w:type="dxa"/>
            </w:tcMar>
          </w:tcPr>
          <w:p>
            <w:pPr>
              <w:spacing w:before="60" w:after="60"/>
              <w:jc w:val="left"/>
            </w:pPr>
            <w:r>
              <w:rPr>
                <w:rFonts w:ascii="Arial" w:hAnsi="Arial"/>
                <w:b/>
                <w:color w:val="FFFFFF"/>
                <w:sz w:val="18"/>
              </w:rPr>
              <w:t>Prediction &amp; Metric</w:t>
            </w:r>
          </w:p>
        </w:tc>
        <w:tc>
          <w:tcPr>
            <w:tcW w:type="dxa" w:w="1872"/>
            <w:shd w:fill="1F4E79"/>
            <w:tcMar>
              <w:top w:w="120" w:type="dxa"/>
              <w:bottom w:w="120" w:type="dxa"/>
              <w:left w:w="100" w:type="dxa"/>
              <w:right w:w="100" w:type="dxa"/>
            </w:tcMar>
          </w:tcPr>
          <w:p>
            <w:pPr>
              <w:spacing w:before="60" w:after="60"/>
              <w:jc w:val="left"/>
            </w:pPr>
            <w:r>
              <w:rPr>
                <w:rFonts w:ascii="Arial" w:hAnsi="Arial"/>
                <w:b/>
                <w:color w:val="FFFFFF"/>
                <w:sz w:val="18"/>
              </w:rPr>
              <w:t>Key Features / XAI Evidence</w:t>
            </w:r>
          </w:p>
        </w:tc>
        <w:tc>
          <w:tcPr>
            <w:tcW w:type="dxa" w:w="1296"/>
            <w:shd w:fill="1F4E79"/>
            <w:tcMar>
              <w:top w:w="120" w:type="dxa"/>
              <w:bottom w:w="120" w:type="dxa"/>
              <w:left w:w="100" w:type="dxa"/>
              <w:right w:w="100" w:type="dxa"/>
            </w:tcMar>
          </w:tcPr>
          <w:p>
            <w:pPr>
              <w:spacing w:before="60" w:after="60"/>
              <w:jc w:val="left"/>
            </w:pPr>
            <w:r>
              <w:rPr>
                <w:rFonts w:ascii="Arial" w:hAnsi="Arial"/>
                <w:b/>
                <w:color w:val="FFFFFF"/>
                <w:sz w:val="18"/>
              </w:rPr>
              <w:t>RAI Metrics</w:t>
            </w:r>
          </w:p>
        </w:tc>
        <w:tc>
          <w:tcPr>
            <w:tcW w:type="dxa" w:w="2592"/>
            <w:shd w:fill="1F4E79"/>
            <w:tcMar>
              <w:top w:w="120" w:type="dxa"/>
              <w:bottom w:w="120" w:type="dxa"/>
              <w:left w:w="100" w:type="dxa"/>
              <w:right w:w="100" w:type="dxa"/>
            </w:tcMar>
          </w:tcPr>
          <w:p>
            <w:pPr>
              <w:spacing w:before="60" w:after="60"/>
              <w:jc w:val="left"/>
            </w:pPr>
            <w:r>
              <w:rPr>
                <w:rFonts w:ascii="Arial" w:hAnsi="Arial"/>
                <w:b/>
                <w:color w:val="FFFFFF"/>
                <w:sz w:val="18"/>
              </w:rPr>
              <w:t>Governance Decision &amp; Policy Rationale</w:t>
            </w:r>
          </w:p>
        </w:tc>
      </w:tr>
      <w:tr>
        <w:trPr>
          <w:cantSplit/>
        </w:trPr>
        <w:tc>
          <w:tcPr>
            <w:tcW w:type="dxa" w:w="1296"/>
            <w:shd w:fill="FFFFFF"/>
            <w:tcMar>
              <w:top w:w="80" w:type="dxa"/>
              <w:bottom w:w="80" w:type="dxa"/>
              <w:left w:w="100" w:type="dxa"/>
              <w:right w:w="100" w:type="dxa"/>
            </w:tcMar>
          </w:tcPr>
          <w:p>
            <w:pPr>
              <w:spacing w:before="60" w:after="60"/>
              <w:jc w:val="left"/>
            </w:pPr>
            <w:r>
              <w:rPr>
                <w:rFonts w:ascii="Arial" w:hAnsi="Arial"/>
                <w:color w:val="333333"/>
                <w:sz w:val="17"/>
              </w:rPr>
              <w:t>Scenario A</w:t>
            </w:r>
          </w:p>
        </w:tc>
        <w:tc>
          <w:tcPr>
            <w:tcW w:type="dxa" w:w="1440"/>
            <w:shd w:fill="FFFFFF"/>
            <w:tcMar>
              <w:top w:w="80" w:type="dxa"/>
              <w:bottom w:w="80" w:type="dxa"/>
              <w:left w:w="100" w:type="dxa"/>
              <w:right w:w="100" w:type="dxa"/>
            </w:tcMar>
          </w:tcPr>
          <w:p>
            <w:pPr>
              <w:spacing w:before="60" w:after="60"/>
              <w:jc w:val="left"/>
            </w:pPr>
            <w:r>
              <w:rPr>
                <w:rFonts w:ascii="Arial" w:hAnsi="Arial"/>
                <w:color w:val="333333"/>
                <w:sz w:val="17"/>
              </w:rPr>
              <w:t>Isolation Forest</w:t>
            </w:r>
          </w:p>
        </w:tc>
        <w:tc>
          <w:tcPr>
            <w:tcW w:type="dxa" w:w="1584"/>
            <w:shd w:fill="FFFFFF"/>
            <w:tcMar>
              <w:top w:w="80" w:type="dxa"/>
              <w:bottom w:w="80" w:type="dxa"/>
              <w:left w:w="100" w:type="dxa"/>
              <w:right w:w="100" w:type="dxa"/>
            </w:tcMar>
          </w:tcPr>
          <w:p>
            <w:pPr>
              <w:spacing w:before="60" w:after="60"/>
              <w:jc w:val="left"/>
            </w:pPr>
            <w:r>
              <w:rPr>
                <w:rFonts w:ascii="Arial" w:hAnsi="Arial"/>
                <w:color w:val="333333"/>
                <w:sz w:val="17"/>
              </w:rPr>
              <w:t>Anomaly (Score: 0.1770)</w:t>
            </w:r>
          </w:p>
        </w:tc>
        <w:tc>
          <w:tcPr>
            <w:tcW w:type="dxa" w:w="1872"/>
            <w:shd w:fill="FFFFFF"/>
            <w:tcMar>
              <w:top w:w="80" w:type="dxa"/>
              <w:bottom w:w="80" w:type="dxa"/>
              <w:left w:w="100" w:type="dxa"/>
              <w:right w:w="100" w:type="dxa"/>
            </w:tcMar>
          </w:tcPr>
          <w:p>
            <w:pPr>
              <w:spacing w:before="60" w:after="60"/>
              <w:jc w:val="left"/>
            </w:pPr>
            <w:r>
              <w:rPr>
                <w:rFonts w:ascii="Arial" w:hAnsi="Arial"/>
                <w:color w:val="333333"/>
                <w:sz w:val="17"/>
              </w:rPr>
              <w:t>dst_host_srv_diff: -1.42</w:t>
              <w:br/>
              <w:t>protocol_icmp: -1.21</w:t>
            </w:r>
          </w:p>
        </w:tc>
        <w:tc>
          <w:tcPr>
            <w:tcW w:type="dxa" w:w="1296"/>
            <w:shd w:fill="FFFFFF"/>
            <w:tcMar>
              <w:top w:w="80" w:type="dxa"/>
              <w:bottom w:w="80" w:type="dxa"/>
              <w:left w:w="100" w:type="dxa"/>
              <w:right w:w="100" w:type="dxa"/>
            </w:tcMar>
          </w:tcPr>
          <w:p>
            <w:pPr>
              <w:spacing w:before="60" w:after="60"/>
              <w:jc w:val="left"/>
            </w:pPr>
            <w:r>
              <w:rPr>
                <w:rFonts w:ascii="Arial" w:hAnsi="Arial"/>
                <w:color w:val="333333"/>
                <w:sz w:val="17"/>
              </w:rPr>
              <w:t>Prec: 0.901</w:t>
              <w:br/>
              <w:t>FPR: 0.091</w:t>
              <w:br/>
              <w:t>Fairness Gap: 47.6%</w:t>
            </w:r>
          </w:p>
        </w:tc>
        <w:tc>
          <w:tcPr>
            <w:tcW w:type="dxa" w:w="2592"/>
            <w:shd w:fill="FFFFFF"/>
            <w:tcMar>
              <w:top w:w="80" w:type="dxa"/>
              <w:bottom w:w="80" w:type="dxa"/>
              <w:left w:w="100" w:type="dxa"/>
              <w:right w:w="100" w:type="dxa"/>
            </w:tcMar>
          </w:tcPr>
          <w:p>
            <w:pPr>
              <w:spacing w:before="60" w:after="60"/>
              <w:jc w:val="left"/>
            </w:pPr>
            <w:r>
              <w:rPr>
                <w:rFonts w:ascii="Arial" w:hAnsi="Arial"/>
                <w:color w:val="333333"/>
                <w:sz w:val="17"/>
              </w:rPr>
              <w:t>Human Approval Required: Fairness gap 47.6% exceeds 10% threshold.</w:t>
            </w:r>
          </w:p>
        </w:tc>
      </w:tr>
      <w:tr>
        <w:trPr>
          <w:cantSplit/>
        </w:trPr>
        <w:tc>
          <w:tcPr>
            <w:tcW w:type="dxa" w:w="1296"/>
            <w:shd w:fill="F2F5F8"/>
            <w:tcMar>
              <w:top w:w="80" w:type="dxa"/>
              <w:bottom w:w="80" w:type="dxa"/>
              <w:left w:w="100" w:type="dxa"/>
              <w:right w:w="100" w:type="dxa"/>
            </w:tcMar>
          </w:tcPr>
          <w:p>
            <w:pPr>
              <w:spacing w:before="60" w:after="60"/>
              <w:jc w:val="left"/>
            </w:pPr>
            <w:r>
              <w:rPr>
                <w:rFonts w:ascii="Arial" w:hAnsi="Arial"/>
                <w:color w:val="333333"/>
                <w:sz w:val="17"/>
              </w:rPr>
              <w:t>Scenario A</w:t>
            </w:r>
          </w:p>
        </w:tc>
        <w:tc>
          <w:tcPr>
            <w:tcW w:type="dxa" w:w="1440"/>
            <w:shd w:fill="F2F5F8"/>
            <w:tcMar>
              <w:top w:w="80" w:type="dxa"/>
              <w:bottom w:w="80" w:type="dxa"/>
              <w:left w:w="100" w:type="dxa"/>
              <w:right w:w="100" w:type="dxa"/>
            </w:tcMar>
          </w:tcPr>
          <w:p>
            <w:pPr>
              <w:spacing w:before="60" w:after="60"/>
              <w:jc w:val="left"/>
            </w:pPr>
            <w:r>
              <w:rPr>
                <w:rFonts w:ascii="Arial" w:hAnsi="Arial"/>
                <w:color w:val="333333"/>
                <w:sz w:val="17"/>
              </w:rPr>
              <w:t>Autoencoder</w:t>
            </w:r>
          </w:p>
        </w:tc>
        <w:tc>
          <w:tcPr>
            <w:tcW w:type="dxa" w:w="1584"/>
            <w:shd w:fill="F2F5F8"/>
            <w:tcMar>
              <w:top w:w="80" w:type="dxa"/>
              <w:bottom w:w="80" w:type="dxa"/>
              <w:left w:w="100" w:type="dxa"/>
              <w:right w:w="100" w:type="dxa"/>
            </w:tcMar>
          </w:tcPr>
          <w:p>
            <w:pPr>
              <w:spacing w:before="60" w:after="60"/>
              <w:jc w:val="left"/>
            </w:pPr>
            <w:r>
              <w:rPr>
                <w:rFonts w:ascii="Arial" w:hAnsi="Arial"/>
                <w:color w:val="333333"/>
                <w:sz w:val="17"/>
              </w:rPr>
              <w:t>Anomaly (Error: 0.0638)</w:t>
            </w:r>
          </w:p>
        </w:tc>
        <w:tc>
          <w:tcPr>
            <w:tcW w:type="dxa" w:w="1872"/>
            <w:shd w:fill="F2F5F8"/>
            <w:tcMar>
              <w:top w:w="80" w:type="dxa"/>
              <w:bottom w:w="80" w:type="dxa"/>
              <w:left w:w="100" w:type="dxa"/>
              <w:right w:w="100" w:type="dxa"/>
            </w:tcMar>
          </w:tcPr>
          <w:p>
            <w:pPr>
              <w:spacing w:before="60" w:after="60"/>
              <w:jc w:val="left"/>
            </w:pPr>
            <w:r>
              <w:rPr>
                <w:rFonts w:ascii="Arial" w:hAnsi="Arial"/>
                <w:color w:val="333333"/>
                <w:sz w:val="17"/>
              </w:rPr>
              <w:t>srv_diff_host: +2.23</w:t>
              <w:br/>
              <w:t>diff_srv_rate: +0.86</w:t>
            </w:r>
          </w:p>
        </w:tc>
        <w:tc>
          <w:tcPr>
            <w:tcW w:type="dxa" w:w="1296"/>
            <w:shd w:fill="F2F5F8"/>
            <w:tcMar>
              <w:top w:w="80" w:type="dxa"/>
              <w:bottom w:w="80" w:type="dxa"/>
              <w:left w:w="100" w:type="dxa"/>
              <w:right w:w="100" w:type="dxa"/>
            </w:tcMar>
          </w:tcPr>
          <w:p>
            <w:pPr>
              <w:spacing w:before="60" w:after="60"/>
              <w:jc w:val="left"/>
            </w:pPr>
            <w:r>
              <w:rPr>
                <w:rFonts w:ascii="Arial" w:hAnsi="Arial"/>
                <w:color w:val="333333"/>
                <w:sz w:val="17"/>
              </w:rPr>
              <w:t>Prec: 0.907</w:t>
              <w:br/>
              <w:t>FPR: 0.086</w:t>
              <w:br/>
              <w:t>Fairness Gap: 7.2%</w:t>
            </w:r>
          </w:p>
        </w:tc>
        <w:tc>
          <w:tcPr>
            <w:tcW w:type="dxa" w:w="2592"/>
            <w:shd w:fill="F2F5F8"/>
            <w:tcMar>
              <w:top w:w="80" w:type="dxa"/>
              <w:bottom w:w="80" w:type="dxa"/>
              <w:left w:w="100" w:type="dxa"/>
              <w:right w:w="100" w:type="dxa"/>
            </w:tcMar>
          </w:tcPr>
          <w:p>
            <w:pPr>
              <w:spacing w:before="60" w:after="60"/>
              <w:jc w:val="left"/>
            </w:pPr>
            <w:r>
              <w:rPr>
                <w:rFonts w:ascii="Arial" w:hAnsi="Arial"/>
                <w:color w:val="333333"/>
                <w:sz w:val="17"/>
              </w:rPr>
              <w:t>Automated Containment Allowed: Meets trust thresholds (FPR 8.6%, Gap 7.2%).</w:t>
            </w:r>
          </w:p>
        </w:tc>
      </w:tr>
      <w:tr>
        <w:trPr>
          <w:cantSplit/>
        </w:trPr>
        <w:tc>
          <w:tcPr>
            <w:tcW w:type="dxa" w:w="1296"/>
            <w:shd w:fill="FFFFFF"/>
            <w:tcMar>
              <w:top w:w="80" w:type="dxa"/>
              <w:bottom w:w="80" w:type="dxa"/>
              <w:left w:w="100" w:type="dxa"/>
              <w:right w:w="100" w:type="dxa"/>
            </w:tcMar>
          </w:tcPr>
          <w:p>
            <w:pPr>
              <w:spacing w:before="60" w:after="60"/>
              <w:jc w:val="left"/>
            </w:pPr>
            <w:r>
              <w:rPr>
                <w:rFonts w:ascii="Arial" w:hAnsi="Arial"/>
                <w:color w:val="333333"/>
                <w:sz w:val="17"/>
              </w:rPr>
              <w:t>Scenario B</w:t>
            </w:r>
          </w:p>
        </w:tc>
        <w:tc>
          <w:tcPr>
            <w:tcW w:type="dxa" w:w="1440"/>
            <w:shd w:fill="FFFFFF"/>
            <w:tcMar>
              <w:top w:w="80" w:type="dxa"/>
              <w:bottom w:w="80" w:type="dxa"/>
              <w:left w:w="100" w:type="dxa"/>
              <w:right w:w="100" w:type="dxa"/>
            </w:tcMar>
          </w:tcPr>
          <w:p>
            <w:pPr>
              <w:spacing w:before="60" w:after="60"/>
              <w:jc w:val="left"/>
            </w:pPr>
            <w:r>
              <w:rPr>
                <w:rFonts w:ascii="Arial" w:hAnsi="Arial"/>
                <w:color w:val="333333"/>
                <w:sz w:val="17"/>
              </w:rPr>
              <w:t>Isolation Forest</w:t>
            </w:r>
          </w:p>
        </w:tc>
        <w:tc>
          <w:tcPr>
            <w:tcW w:type="dxa" w:w="1584"/>
            <w:shd w:fill="FFFFFF"/>
            <w:tcMar>
              <w:top w:w="80" w:type="dxa"/>
              <w:bottom w:w="80" w:type="dxa"/>
              <w:left w:w="100" w:type="dxa"/>
              <w:right w:w="100" w:type="dxa"/>
            </w:tcMar>
          </w:tcPr>
          <w:p>
            <w:pPr>
              <w:spacing w:before="60" w:after="60"/>
              <w:jc w:val="left"/>
            </w:pPr>
            <w:r>
              <w:rPr>
                <w:rFonts w:ascii="Arial" w:hAnsi="Arial"/>
                <w:color w:val="333333"/>
                <w:sz w:val="17"/>
              </w:rPr>
              <w:t>Anomaly (Score: 0.1276)</w:t>
            </w:r>
          </w:p>
        </w:tc>
        <w:tc>
          <w:tcPr>
            <w:tcW w:type="dxa" w:w="1872"/>
            <w:shd w:fill="FFFFFF"/>
            <w:tcMar>
              <w:top w:w="80" w:type="dxa"/>
              <w:bottom w:w="80" w:type="dxa"/>
              <w:left w:w="100" w:type="dxa"/>
              <w:right w:w="100" w:type="dxa"/>
            </w:tcMar>
          </w:tcPr>
          <w:p>
            <w:pPr>
              <w:spacing w:before="60" w:after="60"/>
              <w:jc w:val="left"/>
            </w:pPr>
            <w:r>
              <w:rPr>
                <w:rFonts w:ascii="Arial" w:hAnsi="Arial"/>
                <w:color w:val="333333"/>
                <w:sz w:val="17"/>
              </w:rPr>
              <w:t>service_private: -1.14</w:t>
              <w:br/>
              <w:t>same_srv_rate: -0.96</w:t>
            </w:r>
          </w:p>
        </w:tc>
        <w:tc>
          <w:tcPr>
            <w:tcW w:type="dxa" w:w="1296"/>
            <w:shd w:fill="FFFFFF"/>
            <w:tcMar>
              <w:top w:w="80" w:type="dxa"/>
              <w:bottom w:w="80" w:type="dxa"/>
              <w:left w:w="100" w:type="dxa"/>
              <w:right w:w="100" w:type="dxa"/>
            </w:tcMar>
          </w:tcPr>
          <w:p>
            <w:pPr>
              <w:spacing w:before="60" w:after="60"/>
              <w:jc w:val="left"/>
            </w:pPr>
            <w:r>
              <w:rPr>
                <w:rFonts w:ascii="Arial" w:hAnsi="Arial"/>
                <w:color w:val="333333"/>
                <w:sz w:val="17"/>
              </w:rPr>
              <w:t>Prec: 0.901</w:t>
              <w:br/>
              <w:t>FPR: 0.091</w:t>
              <w:br/>
              <w:t>Fairness Gap: 47.6%</w:t>
            </w:r>
          </w:p>
        </w:tc>
        <w:tc>
          <w:tcPr>
            <w:tcW w:type="dxa" w:w="2592"/>
            <w:shd w:fill="FFFFFF"/>
            <w:tcMar>
              <w:top w:w="80" w:type="dxa"/>
              <w:bottom w:w="80" w:type="dxa"/>
              <w:left w:w="100" w:type="dxa"/>
              <w:right w:w="100" w:type="dxa"/>
            </w:tcMar>
          </w:tcPr>
          <w:p>
            <w:pPr>
              <w:spacing w:before="60" w:after="60"/>
              <w:jc w:val="left"/>
            </w:pPr>
            <w:r>
              <w:rPr>
                <w:rFonts w:ascii="Arial" w:hAnsi="Arial"/>
                <w:color w:val="333333"/>
                <w:sz w:val="17"/>
              </w:rPr>
              <w:t>Human Approval Required: High fairness gap risks alert fatigue.</w:t>
            </w:r>
          </w:p>
        </w:tc>
      </w:tr>
      <w:tr>
        <w:trPr>
          <w:cantSplit/>
        </w:trPr>
        <w:tc>
          <w:tcPr>
            <w:tcW w:type="dxa" w:w="1296"/>
            <w:shd w:fill="F2F5F8"/>
            <w:tcMar>
              <w:top w:w="80" w:type="dxa"/>
              <w:bottom w:w="80" w:type="dxa"/>
              <w:left w:w="100" w:type="dxa"/>
              <w:right w:w="100" w:type="dxa"/>
            </w:tcMar>
          </w:tcPr>
          <w:p>
            <w:pPr>
              <w:spacing w:before="60" w:after="60"/>
              <w:jc w:val="left"/>
            </w:pPr>
            <w:r>
              <w:rPr>
                <w:rFonts w:ascii="Arial" w:hAnsi="Arial"/>
                <w:color w:val="333333"/>
                <w:sz w:val="17"/>
              </w:rPr>
              <w:t>Scenario B</w:t>
            </w:r>
          </w:p>
        </w:tc>
        <w:tc>
          <w:tcPr>
            <w:tcW w:type="dxa" w:w="1440"/>
            <w:shd w:fill="F2F5F8"/>
            <w:tcMar>
              <w:top w:w="80" w:type="dxa"/>
              <w:bottom w:w="80" w:type="dxa"/>
              <w:left w:w="100" w:type="dxa"/>
              <w:right w:w="100" w:type="dxa"/>
            </w:tcMar>
          </w:tcPr>
          <w:p>
            <w:pPr>
              <w:spacing w:before="60" w:after="60"/>
              <w:jc w:val="left"/>
            </w:pPr>
            <w:r>
              <w:rPr>
                <w:rFonts w:ascii="Arial" w:hAnsi="Arial"/>
                <w:color w:val="333333"/>
                <w:sz w:val="17"/>
              </w:rPr>
              <w:t>Autoencoder</w:t>
            </w:r>
          </w:p>
        </w:tc>
        <w:tc>
          <w:tcPr>
            <w:tcW w:type="dxa" w:w="1584"/>
            <w:shd w:fill="F2F5F8"/>
            <w:tcMar>
              <w:top w:w="80" w:type="dxa"/>
              <w:bottom w:w="80" w:type="dxa"/>
              <w:left w:w="100" w:type="dxa"/>
              <w:right w:w="100" w:type="dxa"/>
            </w:tcMar>
          </w:tcPr>
          <w:p>
            <w:pPr>
              <w:spacing w:before="60" w:after="60"/>
              <w:jc w:val="left"/>
            </w:pPr>
            <w:r>
              <w:rPr>
                <w:rFonts w:ascii="Arial" w:hAnsi="Arial"/>
                <w:color w:val="333333"/>
                <w:sz w:val="17"/>
              </w:rPr>
              <w:t>Normal (Error: 0.0437)</w:t>
            </w:r>
          </w:p>
        </w:tc>
        <w:tc>
          <w:tcPr>
            <w:tcW w:type="dxa" w:w="1872"/>
            <w:shd w:fill="F2F5F8"/>
            <w:tcMar>
              <w:top w:w="80" w:type="dxa"/>
              <w:bottom w:w="80" w:type="dxa"/>
              <w:left w:w="100" w:type="dxa"/>
              <w:right w:w="100" w:type="dxa"/>
            </w:tcMar>
          </w:tcPr>
          <w:p>
            <w:pPr>
              <w:spacing w:before="60" w:after="60"/>
              <w:jc w:val="left"/>
            </w:pPr>
            <w:r>
              <w:rPr>
                <w:rFonts w:ascii="Arial" w:hAnsi="Arial"/>
                <w:color w:val="333333"/>
                <w:sz w:val="17"/>
              </w:rPr>
              <w:t>dst_host_diff_srv: +1.12</w:t>
              <w:br/>
              <w:t>service_private: +0.73</w:t>
            </w:r>
          </w:p>
        </w:tc>
        <w:tc>
          <w:tcPr>
            <w:tcW w:type="dxa" w:w="1296"/>
            <w:shd w:fill="F2F5F8"/>
            <w:tcMar>
              <w:top w:w="80" w:type="dxa"/>
              <w:bottom w:w="80" w:type="dxa"/>
              <w:left w:w="100" w:type="dxa"/>
              <w:right w:w="100" w:type="dxa"/>
            </w:tcMar>
          </w:tcPr>
          <w:p>
            <w:pPr>
              <w:spacing w:before="60" w:after="60"/>
              <w:jc w:val="left"/>
            </w:pPr>
            <w:r>
              <w:rPr>
                <w:rFonts w:ascii="Arial" w:hAnsi="Arial"/>
                <w:color w:val="333333"/>
                <w:sz w:val="17"/>
              </w:rPr>
              <w:t>Prec: 0.907</w:t>
              <w:br/>
              <w:t>FPR: 0.086</w:t>
              <w:br/>
              <w:t>Fairness Gap: 7.2%</w:t>
            </w:r>
          </w:p>
        </w:tc>
        <w:tc>
          <w:tcPr>
            <w:tcW w:type="dxa" w:w="2592"/>
            <w:shd w:fill="F2F5F8"/>
            <w:tcMar>
              <w:top w:w="80" w:type="dxa"/>
              <w:bottom w:w="80" w:type="dxa"/>
              <w:left w:w="100" w:type="dxa"/>
              <w:right w:w="100" w:type="dxa"/>
            </w:tcMar>
          </w:tcPr>
          <w:p>
            <w:pPr>
              <w:spacing w:before="60" w:after="60"/>
              <w:jc w:val="left"/>
            </w:pPr>
            <w:r>
              <w:rPr>
                <w:rFonts w:ascii="Arial" w:hAnsi="Arial"/>
                <w:color w:val="333333"/>
                <w:sz w:val="17"/>
              </w:rPr>
              <w:t>N/A - No Anomaly: Model predicts normal; no containment action.</w:t>
            </w:r>
          </w:p>
        </w:tc>
      </w:tr>
      <w:tr>
        <w:trPr>
          <w:cantSplit/>
        </w:trPr>
        <w:tc>
          <w:tcPr>
            <w:tcW w:type="dxa" w:w="1296"/>
            <w:shd w:fill="FFFFFF"/>
            <w:tcMar>
              <w:top w:w="80" w:type="dxa"/>
              <w:bottom w:w="80" w:type="dxa"/>
              <w:left w:w="100" w:type="dxa"/>
              <w:right w:w="100" w:type="dxa"/>
            </w:tcMar>
          </w:tcPr>
          <w:p>
            <w:pPr>
              <w:spacing w:before="60" w:after="60"/>
              <w:jc w:val="left"/>
            </w:pPr>
            <w:r>
              <w:rPr>
                <w:rFonts w:ascii="Arial" w:hAnsi="Arial"/>
                <w:color w:val="333333"/>
                <w:sz w:val="17"/>
              </w:rPr>
              <w:t>Scenario C</w:t>
            </w:r>
          </w:p>
        </w:tc>
        <w:tc>
          <w:tcPr>
            <w:tcW w:type="dxa" w:w="1440"/>
            <w:shd w:fill="FFFFFF"/>
            <w:tcMar>
              <w:top w:w="80" w:type="dxa"/>
              <w:bottom w:w="80" w:type="dxa"/>
              <w:left w:w="100" w:type="dxa"/>
              <w:right w:w="100" w:type="dxa"/>
            </w:tcMar>
          </w:tcPr>
          <w:p>
            <w:pPr>
              <w:spacing w:before="60" w:after="60"/>
              <w:jc w:val="left"/>
            </w:pPr>
            <w:r>
              <w:rPr>
                <w:rFonts w:ascii="Arial" w:hAnsi="Arial"/>
                <w:color w:val="333333"/>
                <w:sz w:val="17"/>
              </w:rPr>
              <w:t>Isolation Forest</w:t>
            </w:r>
          </w:p>
        </w:tc>
        <w:tc>
          <w:tcPr>
            <w:tcW w:type="dxa" w:w="1584"/>
            <w:shd w:fill="FFFFFF"/>
            <w:tcMar>
              <w:top w:w="80" w:type="dxa"/>
              <w:bottom w:w="80" w:type="dxa"/>
              <w:left w:w="100" w:type="dxa"/>
              <w:right w:w="100" w:type="dxa"/>
            </w:tcMar>
          </w:tcPr>
          <w:p>
            <w:pPr>
              <w:spacing w:before="60" w:after="60"/>
              <w:jc w:val="left"/>
            </w:pPr>
            <w:r>
              <w:rPr>
                <w:rFonts w:ascii="Arial" w:hAnsi="Arial"/>
                <w:color w:val="333333"/>
                <w:sz w:val="17"/>
              </w:rPr>
              <w:t>Normal (Score: 0.0498)</w:t>
            </w:r>
          </w:p>
        </w:tc>
        <w:tc>
          <w:tcPr>
            <w:tcW w:type="dxa" w:w="1872"/>
            <w:shd w:fill="FFFFFF"/>
            <w:tcMar>
              <w:top w:w="80" w:type="dxa"/>
              <w:bottom w:w="80" w:type="dxa"/>
              <w:left w:w="100" w:type="dxa"/>
              <w:right w:w="100" w:type="dxa"/>
            </w:tcMar>
          </w:tcPr>
          <w:p>
            <w:pPr>
              <w:spacing w:before="60" w:after="60"/>
              <w:jc w:val="left"/>
            </w:pPr>
            <w:r>
              <w:rPr>
                <w:rFonts w:ascii="Arial" w:hAnsi="Arial"/>
                <w:color w:val="333333"/>
                <w:sz w:val="17"/>
              </w:rPr>
              <w:t>service_telnet: -1.78</w:t>
              <w:br/>
              <w:t>logged_in: -0.43</w:t>
            </w:r>
          </w:p>
        </w:tc>
        <w:tc>
          <w:tcPr>
            <w:tcW w:type="dxa" w:w="1296"/>
            <w:shd w:fill="FFFFFF"/>
            <w:tcMar>
              <w:top w:w="80" w:type="dxa"/>
              <w:bottom w:w="80" w:type="dxa"/>
              <w:left w:w="100" w:type="dxa"/>
              <w:right w:w="100" w:type="dxa"/>
            </w:tcMar>
          </w:tcPr>
          <w:p>
            <w:pPr>
              <w:spacing w:before="60" w:after="60"/>
              <w:jc w:val="left"/>
            </w:pPr>
            <w:r>
              <w:rPr>
                <w:rFonts w:ascii="Arial" w:hAnsi="Arial"/>
                <w:color w:val="333333"/>
                <w:sz w:val="17"/>
              </w:rPr>
              <w:t>Prec: 0.901</w:t>
              <w:br/>
              <w:t>FPR: 0.091</w:t>
              <w:br/>
              <w:t>Fairness Gap: 47.6%</w:t>
            </w:r>
          </w:p>
        </w:tc>
        <w:tc>
          <w:tcPr>
            <w:tcW w:type="dxa" w:w="2592"/>
            <w:shd w:fill="FFFFFF"/>
            <w:tcMar>
              <w:top w:w="80" w:type="dxa"/>
              <w:bottom w:w="80" w:type="dxa"/>
              <w:left w:w="100" w:type="dxa"/>
              <w:right w:w="100" w:type="dxa"/>
            </w:tcMar>
          </w:tcPr>
          <w:p>
            <w:pPr>
              <w:spacing w:before="60" w:after="60"/>
              <w:jc w:val="left"/>
            </w:pPr>
            <w:r>
              <w:rPr>
                <w:rFonts w:ascii="Arial" w:hAnsi="Arial"/>
                <w:color w:val="333333"/>
                <w:sz w:val="17"/>
              </w:rPr>
              <w:t>N/A - No Anomaly: Model predicts normal; no containment action.</w:t>
            </w:r>
          </w:p>
        </w:tc>
      </w:tr>
      <w:tr>
        <w:trPr>
          <w:cantSplit/>
        </w:trPr>
        <w:tc>
          <w:tcPr>
            <w:tcW w:type="dxa" w:w="1296"/>
            <w:shd w:fill="F2F5F8"/>
            <w:tcMar>
              <w:top w:w="80" w:type="dxa"/>
              <w:bottom w:w="80" w:type="dxa"/>
              <w:left w:w="100" w:type="dxa"/>
              <w:right w:w="100" w:type="dxa"/>
            </w:tcMar>
          </w:tcPr>
          <w:p>
            <w:pPr>
              <w:spacing w:before="60" w:after="60"/>
              <w:jc w:val="left"/>
            </w:pPr>
            <w:r>
              <w:rPr>
                <w:rFonts w:ascii="Arial" w:hAnsi="Arial"/>
                <w:color w:val="333333"/>
                <w:sz w:val="17"/>
              </w:rPr>
              <w:t>Scenario C</w:t>
            </w:r>
          </w:p>
        </w:tc>
        <w:tc>
          <w:tcPr>
            <w:tcW w:type="dxa" w:w="1440"/>
            <w:shd w:fill="F2F5F8"/>
            <w:tcMar>
              <w:top w:w="80" w:type="dxa"/>
              <w:bottom w:w="80" w:type="dxa"/>
              <w:left w:w="100" w:type="dxa"/>
              <w:right w:w="100" w:type="dxa"/>
            </w:tcMar>
          </w:tcPr>
          <w:p>
            <w:pPr>
              <w:spacing w:before="60" w:after="60"/>
              <w:jc w:val="left"/>
            </w:pPr>
            <w:r>
              <w:rPr>
                <w:rFonts w:ascii="Arial" w:hAnsi="Arial"/>
                <w:color w:val="333333"/>
                <w:sz w:val="17"/>
              </w:rPr>
              <w:t>Autoencoder</w:t>
            </w:r>
          </w:p>
        </w:tc>
        <w:tc>
          <w:tcPr>
            <w:tcW w:type="dxa" w:w="1584"/>
            <w:shd w:fill="F2F5F8"/>
            <w:tcMar>
              <w:top w:w="80" w:type="dxa"/>
              <w:bottom w:w="80" w:type="dxa"/>
              <w:left w:w="100" w:type="dxa"/>
              <w:right w:w="100" w:type="dxa"/>
            </w:tcMar>
          </w:tcPr>
          <w:p>
            <w:pPr>
              <w:spacing w:before="60" w:after="60"/>
              <w:jc w:val="left"/>
            </w:pPr>
            <w:r>
              <w:rPr>
                <w:rFonts w:ascii="Arial" w:hAnsi="Arial"/>
                <w:color w:val="333333"/>
                <w:sz w:val="17"/>
              </w:rPr>
              <w:t>Anomaly (Error: 1.1034)</w:t>
            </w:r>
          </w:p>
        </w:tc>
        <w:tc>
          <w:tcPr>
            <w:tcW w:type="dxa" w:w="1872"/>
            <w:shd w:fill="F2F5F8"/>
            <w:tcMar>
              <w:top w:w="80" w:type="dxa"/>
              <w:bottom w:w="80" w:type="dxa"/>
              <w:left w:w="100" w:type="dxa"/>
              <w:right w:w="100" w:type="dxa"/>
            </w:tcMar>
          </w:tcPr>
          <w:p>
            <w:pPr>
              <w:spacing w:before="60" w:after="60"/>
              <w:jc w:val="left"/>
            </w:pPr>
            <w:r>
              <w:rPr>
                <w:rFonts w:ascii="Arial" w:hAnsi="Arial"/>
                <w:color w:val="333333"/>
                <w:sz w:val="17"/>
              </w:rPr>
              <w:t>num_root: +47.33</w:t>
              <w:br/>
              <w:t>num_compromised: +40.79</w:t>
            </w:r>
          </w:p>
        </w:tc>
        <w:tc>
          <w:tcPr>
            <w:tcW w:type="dxa" w:w="1296"/>
            <w:shd w:fill="F2F5F8"/>
            <w:tcMar>
              <w:top w:w="80" w:type="dxa"/>
              <w:bottom w:w="80" w:type="dxa"/>
              <w:left w:w="100" w:type="dxa"/>
              <w:right w:w="100" w:type="dxa"/>
            </w:tcMar>
          </w:tcPr>
          <w:p>
            <w:pPr>
              <w:spacing w:before="60" w:after="60"/>
              <w:jc w:val="left"/>
            </w:pPr>
            <w:r>
              <w:rPr>
                <w:rFonts w:ascii="Arial" w:hAnsi="Arial"/>
                <w:color w:val="333333"/>
                <w:sz w:val="17"/>
              </w:rPr>
              <w:t>Prec: 0.907</w:t>
              <w:br/>
              <w:t>FPR: 0.086</w:t>
              <w:br/>
              <w:t>Fairness Gap: 7.2%</w:t>
            </w:r>
          </w:p>
        </w:tc>
        <w:tc>
          <w:tcPr>
            <w:tcW w:type="dxa" w:w="2592"/>
            <w:shd w:fill="F2F5F8"/>
            <w:tcMar>
              <w:top w:w="80" w:type="dxa"/>
              <w:bottom w:w="80" w:type="dxa"/>
              <w:left w:w="100" w:type="dxa"/>
              <w:right w:w="100" w:type="dxa"/>
            </w:tcMar>
          </w:tcPr>
          <w:p>
            <w:pPr>
              <w:spacing w:before="60" w:after="60"/>
              <w:jc w:val="left"/>
            </w:pPr>
            <w:r>
              <w:rPr>
                <w:rFonts w:ascii="Arial" w:hAnsi="Arial"/>
                <w:color w:val="333333"/>
                <w:sz w:val="17"/>
              </w:rPr>
              <w:t>Automated Containment Allowed: Strong anomaly backed by safe trust metrics.</w:t>
            </w:r>
          </w:p>
        </w:tc>
      </w:tr>
      <w:tr>
        <w:trPr>
          <w:cantSplit/>
        </w:trPr>
        <w:tc>
          <w:tcPr>
            <w:tcW w:type="dxa" w:w="1296"/>
            <w:shd w:fill="FFFFFF"/>
            <w:tcMar>
              <w:top w:w="80" w:type="dxa"/>
              <w:bottom w:w="80" w:type="dxa"/>
              <w:left w:w="100" w:type="dxa"/>
              <w:right w:w="100" w:type="dxa"/>
            </w:tcMar>
          </w:tcPr>
          <w:p>
            <w:pPr>
              <w:spacing w:before="60" w:after="60"/>
              <w:jc w:val="left"/>
            </w:pPr>
            <w:r>
              <w:rPr>
                <w:rFonts w:ascii="Arial" w:hAnsi="Arial"/>
                <w:color w:val="333333"/>
                <w:sz w:val="17"/>
              </w:rPr>
              <w:t>Scenario D</w:t>
            </w:r>
          </w:p>
        </w:tc>
        <w:tc>
          <w:tcPr>
            <w:tcW w:type="dxa" w:w="1440"/>
            <w:shd w:fill="FFFFFF"/>
            <w:tcMar>
              <w:top w:w="80" w:type="dxa"/>
              <w:bottom w:w="80" w:type="dxa"/>
              <w:left w:w="100" w:type="dxa"/>
              <w:right w:w="100" w:type="dxa"/>
            </w:tcMar>
          </w:tcPr>
          <w:p>
            <w:pPr>
              <w:spacing w:before="60" w:after="60"/>
              <w:jc w:val="left"/>
            </w:pPr>
            <w:r>
              <w:rPr>
                <w:rFonts w:ascii="Arial" w:hAnsi="Arial"/>
                <w:color w:val="333333"/>
                <w:sz w:val="17"/>
              </w:rPr>
              <w:t>Isolation Forest</w:t>
            </w:r>
          </w:p>
        </w:tc>
        <w:tc>
          <w:tcPr>
            <w:tcW w:type="dxa" w:w="1584"/>
            <w:shd w:fill="FFFFFF"/>
            <w:tcMar>
              <w:top w:w="80" w:type="dxa"/>
              <w:bottom w:w="80" w:type="dxa"/>
              <w:left w:w="100" w:type="dxa"/>
              <w:right w:w="100" w:type="dxa"/>
            </w:tcMar>
          </w:tcPr>
          <w:p>
            <w:pPr>
              <w:spacing w:before="60" w:after="60"/>
              <w:jc w:val="left"/>
            </w:pPr>
            <w:r>
              <w:rPr>
                <w:rFonts w:ascii="Arial" w:hAnsi="Arial"/>
                <w:color w:val="333333"/>
                <w:sz w:val="17"/>
              </w:rPr>
              <w:t>Normal (Score: 0.0033)</w:t>
            </w:r>
          </w:p>
        </w:tc>
        <w:tc>
          <w:tcPr>
            <w:tcW w:type="dxa" w:w="1872"/>
            <w:shd w:fill="FFFFFF"/>
            <w:tcMar>
              <w:top w:w="80" w:type="dxa"/>
              <w:bottom w:w="80" w:type="dxa"/>
              <w:left w:w="100" w:type="dxa"/>
              <w:right w:w="100" w:type="dxa"/>
            </w:tcMar>
          </w:tcPr>
          <w:p>
            <w:pPr>
              <w:spacing w:before="60" w:after="60"/>
              <w:jc w:val="left"/>
            </w:pPr>
            <w:r>
              <w:rPr>
                <w:rFonts w:ascii="Arial" w:hAnsi="Arial"/>
                <w:color w:val="333333"/>
                <w:sz w:val="17"/>
              </w:rPr>
              <w:t>dst_same_port: -1.35</w:t>
              <w:br/>
              <w:t>dst_count: -0.17</w:t>
            </w:r>
          </w:p>
        </w:tc>
        <w:tc>
          <w:tcPr>
            <w:tcW w:type="dxa" w:w="1296"/>
            <w:shd w:fill="FFFFFF"/>
            <w:tcMar>
              <w:top w:w="80" w:type="dxa"/>
              <w:bottom w:w="80" w:type="dxa"/>
              <w:left w:w="100" w:type="dxa"/>
              <w:right w:w="100" w:type="dxa"/>
            </w:tcMar>
          </w:tcPr>
          <w:p>
            <w:pPr>
              <w:spacing w:before="60" w:after="60"/>
              <w:jc w:val="left"/>
            </w:pPr>
            <w:r>
              <w:rPr>
                <w:rFonts w:ascii="Arial" w:hAnsi="Arial"/>
                <w:color w:val="333333"/>
                <w:sz w:val="17"/>
              </w:rPr>
              <w:t>Prec: 0.901</w:t>
              <w:br/>
              <w:t>FPR: 0.091</w:t>
              <w:br/>
              <w:t>Fairness Gap: 47.6%</w:t>
            </w:r>
          </w:p>
        </w:tc>
        <w:tc>
          <w:tcPr>
            <w:tcW w:type="dxa" w:w="2592"/>
            <w:shd w:fill="FFFFFF"/>
            <w:tcMar>
              <w:top w:w="80" w:type="dxa"/>
              <w:bottom w:w="80" w:type="dxa"/>
              <w:left w:w="100" w:type="dxa"/>
              <w:right w:w="100" w:type="dxa"/>
            </w:tcMar>
          </w:tcPr>
          <w:p>
            <w:pPr>
              <w:spacing w:before="60" w:after="60"/>
              <w:jc w:val="left"/>
            </w:pPr>
            <w:r>
              <w:rPr>
                <w:rFonts w:ascii="Arial" w:hAnsi="Arial"/>
                <w:color w:val="333333"/>
                <w:sz w:val="17"/>
              </w:rPr>
              <w:t>N/A - No Action: Benign consensus across models.</w:t>
            </w:r>
          </w:p>
        </w:tc>
      </w:tr>
      <w:tr>
        <w:trPr>
          <w:cantSplit/>
        </w:trPr>
        <w:tc>
          <w:tcPr>
            <w:tcW w:type="dxa" w:w="1296"/>
            <w:shd w:fill="F2F5F8"/>
            <w:tcMar>
              <w:top w:w="80" w:type="dxa"/>
              <w:bottom w:w="80" w:type="dxa"/>
              <w:left w:w="100" w:type="dxa"/>
              <w:right w:w="100" w:type="dxa"/>
            </w:tcMar>
          </w:tcPr>
          <w:p>
            <w:pPr>
              <w:spacing w:before="60" w:after="60"/>
              <w:jc w:val="left"/>
            </w:pPr>
            <w:r>
              <w:rPr>
                <w:rFonts w:ascii="Arial" w:hAnsi="Arial"/>
                <w:color w:val="333333"/>
                <w:sz w:val="17"/>
              </w:rPr>
              <w:t>Scenario D</w:t>
            </w:r>
          </w:p>
        </w:tc>
        <w:tc>
          <w:tcPr>
            <w:tcW w:type="dxa" w:w="1440"/>
            <w:shd w:fill="F2F5F8"/>
            <w:tcMar>
              <w:top w:w="80" w:type="dxa"/>
              <w:bottom w:w="80" w:type="dxa"/>
              <w:left w:w="100" w:type="dxa"/>
              <w:right w:w="100" w:type="dxa"/>
            </w:tcMar>
          </w:tcPr>
          <w:p>
            <w:pPr>
              <w:spacing w:before="60" w:after="60"/>
              <w:jc w:val="left"/>
            </w:pPr>
            <w:r>
              <w:rPr>
                <w:rFonts w:ascii="Arial" w:hAnsi="Arial"/>
                <w:color w:val="333333"/>
                <w:sz w:val="17"/>
              </w:rPr>
              <w:t>Autoencoder</w:t>
            </w:r>
          </w:p>
        </w:tc>
        <w:tc>
          <w:tcPr>
            <w:tcW w:type="dxa" w:w="1584"/>
            <w:shd w:fill="F2F5F8"/>
            <w:tcMar>
              <w:top w:w="80" w:type="dxa"/>
              <w:bottom w:w="80" w:type="dxa"/>
              <w:left w:w="100" w:type="dxa"/>
              <w:right w:w="100" w:type="dxa"/>
            </w:tcMar>
          </w:tcPr>
          <w:p>
            <w:pPr>
              <w:spacing w:before="60" w:after="60"/>
              <w:jc w:val="left"/>
            </w:pPr>
            <w:r>
              <w:rPr>
                <w:rFonts w:ascii="Arial" w:hAnsi="Arial"/>
                <w:color w:val="333333"/>
                <w:sz w:val="17"/>
              </w:rPr>
              <w:t>Normal (Error: 0.0119)</w:t>
            </w:r>
          </w:p>
        </w:tc>
        <w:tc>
          <w:tcPr>
            <w:tcW w:type="dxa" w:w="1872"/>
            <w:shd w:fill="F2F5F8"/>
            <w:tcMar>
              <w:top w:w="80" w:type="dxa"/>
              <w:bottom w:w="80" w:type="dxa"/>
              <w:left w:w="100" w:type="dxa"/>
              <w:right w:w="100" w:type="dxa"/>
            </w:tcMar>
          </w:tcPr>
          <w:p>
            <w:pPr>
              <w:spacing w:before="60" w:after="60"/>
              <w:jc w:val="left"/>
            </w:pPr>
            <w:r>
              <w:rPr>
                <w:rFonts w:ascii="Arial" w:hAnsi="Arial"/>
                <w:color w:val="333333"/>
                <w:sz w:val="17"/>
              </w:rPr>
              <w:t>dst_host_count: +0.26</w:t>
              <w:br/>
              <w:t>dst_same_port: +0.17</w:t>
            </w:r>
          </w:p>
        </w:tc>
        <w:tc>
          <w:tcPr>
            <w:tcW w:type="dxa" w:w="1296"/>
            <w:shd w:fill="F2F5F8"/>
            <w:tcMar>
              <w:top w:w="80" w:type="dxa"/>
              <w:bottom w:w="80" w:type="dxa"/>
              <w:left w:w="100" w:type="dxa"/>
              <w:right w:w="100" w:type="dxa"/>
            </w:tcMar>
          </w:tcPr>
          <w:p>
            <w:pPr>
              <w:spacing w:before="60" w:after="60"/>
              <w:jc w:val="left"/>
            </w:pPr>
            <w:r>
              <w:rPr>
                <w:rFonts w:ascii="Arial" w:hAnsi="Arial"/>
                <w:color w:val="333333"/>
                <w:sz w:val="17"/>
              </w:rPr>
              <w:t>Prec: 0.907</w:t>
              <w:br/>
              <w:t>FPR: 0.086</w:t>
              <w:br/>
              <w:t>Fairness Gap: 7.2%</w:t>
            </w:r>
          </w:p>
        </w:tc>
        <w:tc>
          <w:tcPr>
            <w:tcW w:type="dxa" w:w="2592"/>
            <w:shd w:fill="F2F5F8"/>
            <w:tcMar>
              <w:top w:w="80" w:type="dxa"/>
              <w:bottom w:w="80" w:type="dxa"/>
              <w:left w:w="100" w:type="dxa"/>
              <w:right w:w="100" w:type="dxa"/>
            </w:tcMar>
          </w:tcPr>
          <w:p>
            <w:pPr>
              <w:spacing w:before="60" w:after="60"/>
              <w:jc w:val="left"/>
            </w:pPr>
            <w:r>
              <w:rPr>
                <w:rFonts w:ascii="Arial" w:hAnsi="Arial"/>
                <w:color w:val="333333"/>
                <w:sz w:val="17"/>
              </w:rPr>
              <w:t>N/A - No Action: Benign consensus across models.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