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8D94" w14:textId="56B2F60A" w:rsidR="00147FD3" w:rsidRDefault="00147FD3">
      <w:pPr>
        <w:spacing w:before="400" w:after="400"/>
      </w:pPr>
      <w:r>
        <w:rPr>
          <w:noProof/>
        </w:rPr>
        <w:drawing>
          <wp:anchor distT="0" distB="0" distL="114300" distR="114300" simplePos="0" relativeHeight="251658240" behindDoc="0" locked="0" layoutInCell="1" allowOverlap="1" wp14:anchorId="5B33AB60" wp14:editId="26340542">
            <wp:simplePos x="0" y="0"/>
            <wp:positionH relativeFrom="column">
              <wp:posOffset>-967157</wp:posOffset>
            </wp:positionH>
            <wp:positionV relativeFrom="page">
              <wp:posOffset>-17145</wp:posOffset>
            </wp:positionV>
            <wp:extent cx="7799705" cy="10093325"/>
            <wp:effectExtent l="0" t="0" r="0" b="3175"/>
            <wp:wrapThrough wrapText="bothSides">
              <wp:wrapPolygon edited="0">
                <wp:start x="0" y="0"/>
                <wp:lineTo x="0" y="21580"/>
                <wp:lineTo x="21560" y="21580"/>
                <wp:lineTo x="21560" y="0"/>
                <wp:lineTo x="0" y="0"/>
              </wp:wrapPolygon>
            </wp:wrapThrough>
            <wp:docPr id="213702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21647" name="Imagen 2137021647"/>
                    <pic:cNvPicPr/>
                  </pic:nvPicPr>
                  <pic:blipFill>
                    <a:blip r:embed="rId8">
                      <a:extLst>
                        <a:ext uri="{28A0092B-C50C-407E-A947-70E740481C1C}">
                          <a14:useLocalDpi xmlns:a14="http://schemas.microsoft.com/office/drawing/2010/main" val="0"/>
                        </a:ext>
                      </a:extLst>
                    </a:blip>
                    <a:stretch>
                      <a:fillRect/>
                    </a:stretch>
                  </pic:blipFill>
                  <pic:spPr>
                    <a:xfrm>
                      <a:off x="0" y="0"/>
                      <a:ext cx="7799705" cy="10093325"/>
                    </a:xfrm>
                    <a:prstGeom prst="rect">
                      <a:avLst/>
                    </a:prstGeom>
                  </pic:spPr>
                </pic:pic>
              </a:graphicData>
            </a:graphic>
            <wp14:sizeRelH relativeFrom="page">
              <wp14:pctWidth>0</wp14:pctWidth>
            </wp14:sizeRelH>
            <wp14:sizeRelV relativeFrom="page">
              <wp14:pctHeight>0</wp14:pctHeight>
            </wp14:sizeRelV>
          </wp:anchor>
        </w:drawing>
      </w:r>
    </w:p>
    <w:p w14:paraId="2EC6D328" w14:textId="77777777" w:rsidR="0033053D" w:rsidRDefault="0033053D" w:rsidP="0033053D">
      <w:pPr>
        <w:pStyle w:val="p1"/>
        <w:jc w:val="center"/>
      </w:pPr>
      <w:r>
        <w:lastRenderedPageBreak/>
        <w:t>EQUIPO DE TRABAJO</w:t>
      </w:r>
    </w:p>
    <w:p w14:paraId="269C0229" w14:textId="77777777" w:rsidR="0033053D" w:rsidRDefault="0033053D" w:rsidP="0033053D">
      <w:pPr>
        <w:pStyle w:val="p1"/>
        <w:jc w:val="center"/>
      </w:pPr>
    </w:p>
    <w:p w14:paraId="1C9F6958" w14:textId="77777777" w:rsidR="0033053D" w:rsidRDefault="0033053D" w:rsidP="0033053D">
      <w:pPr>
        <w:pStyle w:val="p2"/>
        <w:jc w:val="center"/>
      </w:pPr>
      <w:r>
        <w:t>Universidad Abierta para Adultos (UAPA)</w:t>
      </w:r>
    </w:p>
    <w:p w14:paraId="1EC16371" w14:textId="77777777" w:rsidR="0033053D" w:rsidRDefault="0033053D" w:rsidP="0033053D">
      <w:pPr>
        <w:pStyle w:val="p2"/>
        <w:jc w:val="center"/>
      </w:pPr>
    </w:p>
    <w:p w14:paraId="2A991735" w14:textId="77777777" w:rsidR="0033053D" w:rsidRDefault="0033053D" w:rsidP="0033053D">
      <w:pPr>
        <w:pStyle w:val="p1"/>
        <w:jc w:val="center"/>
      </w:pPr>
      <w:r>
        <w:t>Convocatoria Universitaria · Desafío Ciudad del Futuro 2036</w:t>
      </w:r>
    </w:p>
    <w:p w14:paraId="3D7324B6" w14:textId="77777777" w:rsidR="0033053D" w:rsidRDefault="0033053D" w:rsidP="0033053D">
      <w:pPr>
        <w:pStyle w:val="p1"/>
      </w:pPr>
    </w:p>
    <w:p w14:paraId="4E1C159C" w14:textId="77777777" w:rsidR="0033053D" w:rsidRDefault="0033053D" w:rsidP="0033053D">
      <w:pPr>
        <w:pStyle w:val="p3"/>
        <w:jc w:val="center"/>
      </w:pPr>
      <w:r>
        <w:t>Laury Jaquez</w:t>
      </w:r>
    </w:p>
    <w:p w14:paraId="077852D6" w14:textId="2E0E991C" w:rsidR="0033053D" w:rsidRDefault="0033053D" w:rsidP="0033053D">
      <w:pPr>
        <w:pStyle w:val="p4"/>
        <w:jc w:val="center"/>
      </w:pPr>
      <w:r>
        <w:t>Matrícula 100076785</w:t>
      </w:r>
    </w:p>
    <w:p w14:paraId="11732DC6" w14:textId="77777777" w:rsidR="0033053D" w:rsidRDefault="0033053D" w:rsidP="0033053D">
      <w:pPr>
        <w:pStyle w:val="p1"/>
        <w:jc w:val="center"/>
      </w:pPr>
      <w:r>
        <w:t>Escuela de Tecnología · Ingeniería de Software</w:t>
      </w:r>
    </w:p>
    <w:p w14:paraId="5664045A" w14:textId="77777777" w:rsidR="0033053D" w:rsidRDefault="0033053D" w:rsidP="0033053D">
      <w:pPr>
        <w:pStyle w:val="p1"/>
        <w:jc w:val="center"/>
      </w:pPr>
    </w:p>
    <w:p w14:paraId="0AAFCD77" w14:textId="77777777" w:rsidR="0033053D" w:rsidRDefault="0033053D" w:rsidP="0033053D">
      <w:pPr>
        <w:pStyle w:val="p3"/>
        <w:jc w:val="center"/>
      </w:pPr>
      <w:r>
        <w:t>[Nombre completo del integrante 2]</w:t>
      </w:r>
    </w:p>
    <w:p w14:paraId="1569FB1E" w14:textId="77777777" w:rsidR="0033053D" w:rsidRDefault="0033053D" w:rsidP="0033053D">
      <w:pPr>
        <w:pStyle w:val="p4"/>
        <w:jc w:val="center"/>
      </w:pPr>
      <w:r>
        <w:t>Matrícula [000000000]</w:t>
      </w:r>
    </w:p>
    <w:p w14:paraId="1DD359CF" w14:textId="77777777" w:rsidR="0033053D" w:rsidRDefault="0033053D" w:rsidP="0033053D">
      <w:pPr>
        <w:pStyle w:val="p1"/>
        <w:jc w:val="center"/>
      </w:pPr>
      <w:r>
        <w:t>[Escuela / Carrera]</w:t>
      </w:r>
    </w:p>
    <w:p w14:paraId="0E15F16A" w14:textId="77777777" w:rsidR="0033053D" w:rsidRDefault="0033053D" w:rsidP="0033053D">
      <w:pPr>
        <w:pStyle w:val="p1"/>
        <w:jc w:val="center"/>
      </w:pPr>
    </w:p>
    <w:p w14:paraId="50291E9C" w14:textId="77777777" w:rsidR="0033053D" w:rsidRDefault="0033053D" w:rsidP="0033053D">
      <w:pPr>
        <w:pStyle w:val="p3"/>
        <w:jc w:val="center"/>
      </w:pPr>
      <w:r>
        <w:t>[Nombre completo del integrante 3]</w:t>
      </w:r>
    </w:p>
    <w:p w14:paraId="54881A4A" w14:textId="77777777" w:rsidR="0033053D" w:rsidRDefault="0033053D" w:rsidP="0033053D">
      <w:pPr>
        <w:pStyle w:val="p4"/>
        <w:jc w:val="center"/>
      </w:pPr>
      <w:r>
        <w:t>Matrícula [000000000]</w:t>
      </w:r>
    </w:p>
    <w:p w14:paraId="04657E00" w14:textId="77777777" w:rsidR="0033053D" w:rsidRDefault="0033053D" w:rsidP="0033053D">
      <w:pPr>
        <w:pStyle w:val="p1"/>
        <w:jc w:val="center"/>
      </w:pPr>
      <w:r>
        <w:t>[Escuela / Carrera]</w:t>
      </w:r>
    </w:p>
    <w:p w14:paraId="43C5DBA0" w14:textId="77777777" w:rsidR="0033053D" w:rsidRDefault="0033053D" w:rsidP="0033053D">
      <w:pPr>
        <w:pStyle w:val="p1"/>
        <w:jc w:val="center"/>
      </w:pPr>
    </w:p>
    <w:p w14:paraId="449F75CE" w14:textId="77777777" w:rsidR="0033053D" w:rsidRDefault="0033053D" w:rsidP="0033053D">
      <w:pPr>
        <w:pStyle w:val="p3"/>
        <w:jc w:val="center"/>
      </w:pPr>
      <w:r>
        <w:t>[Nombre completo del integrante 4]</w:t>
      </w:r>
    </w:p>
    <w:p w14:paraId="34773555" w14:textId="77777777" w:rsidR="0033053D" w:rsidRDefault="0033053D" w:rsidP="0033053D">
      <w:pPr>
        <w:pStyle w:val="p4"/>
        <w:jc w:val="center"/>
      </w:pPr>
      <w:r>
        <w:t>Matrícula [000000000]</w:t>
      </w:r>
    </w:p>
    <w:p w14:paraId="5C45BB05" w14:textId="77777777" w:rsidR="0033053D" w:rsidRDefault="0033053D" w:rsidP="0033053D">
      <w:pPr>
        <w:pStyle w:val="p1"/>
        <w:jc w:val="center"/>
      </w:pPr>
      <w:r>
        <w:t>[Escuela / Carrera]</w:t>
      </w:r>
    </w:p>
    <w:p w14:paraId="1D9EA763" w14:textId="77777777" w:rsidR="0033053D" w:rsidRDefault="0033053D" w:rsidP="0033053D">
      <w:pPr>
        <w:pStyle w:val="p1"/>
        <w:jc w:val="center"/>
      </w:pPr>
    </w:p>
    <w:p w14:paraId="7A24910B" w14:textId="77777777" w:rsidR="0033053D" w:rsidRDefault="0033053D" w:rsidP="0033053D">
      <w:pPr>
        <w:pStyle w:val="p1"/>
        <w:jc w:val="center"/>
      </w:pPr>
      <w:r>
        <w:t>Santo Domingo, República Dominicana · 5 de mayo de 2026</w:t>
      </w:r>
    </w:p>
    <w:p w14:paraId="2232D498" w14:textId="6939055B" w:rsidR="0023720B" w:rsidRDefault="00000000">
      <w:pPr>
        <w:rPr>
          <w:b/>
          <w:bCs/>
        </w:rPr>
      </w:pPr>
      <w:r>
        <w:br w:type="page"/>
      </w:r>
    </w:p>
    <w:p w14:paraId="575837F0" w14:textId="77777777" w:rsidR="00B901B2" w:rsidRPr="00B901B2" w:rsidRDefault="00B901B2">
      <w:pPr>
        <w:rPr>
          <w:b/>
          <w:bCs/>
        </w:rPr>
      </w:pPr>
    </w:p>
    <w:sdt>
      <w:sdtPr>
        <w:rPr>
          <w:rFonts w:ascii="Arial" w:eastAsia="Arial" w:hAnsi="Arial" w:cs="Arial"/>
          <w:b w:val="0"/>
          <w:bCs w:val="0"/>
          <w:color w:val="auto"/>
          <w:sz w:val="22"/>
          <w:szCs w:val="22"/>
          <w:lang w:val="es-ES"/>
        </w:rPr>
        <w:id w:val="-2013979007"/>
        <w:docPartObj>
          <w:docPartGallery w:val="Table of Contents"/>
          <w:docPartUnique/>
        </w:docPartObj>
      </w:sdtPr>
      <w:sdtEndPr>
        <w:rPr>
          <w:noProof/>
          <w:lang w:val="es-DO"/>
        </w:rPr>
      </w:sdtEndPr>
      <w:sdtContent>
        <w:p w14:paraId="29DD046D" w14:textId="5B1A9D24" w:rsidR="00777ED6" w:rsidRDefault="00777ED6">
          <w:pPr>
            <w:pStyle w:val="TtuloTDC"/>
            <w:rPr>
              <w:lang w:val="es-ES"/>
            </w:rPr>
          </w:pPr>
          <w:r>
            <w:rPr>
              <w:lang w:val="es-ES"/>
            </w:rPr>
            <w:t>Tabla de contenido</w:t>
          </w:r>
        </w:p>
        <w:p w14:paraId="73B983D3" w14:textId="77777777" w:rsidR="00777ED6" w:rsidRPr="00777ED6" w:rsidRDefault="00777ED6" w:rsidP="00777ED6">
          <w:pPr>
            <w:rPr>
              <w:lang w:val="es-ES"/>
            </w:rPr>
          </w:pPr>
        </w:p>
        <w:p w14:paraId="36676C2D" w14:textId="5D1F2433" w:rsidR="004E62C5" w:rsidRDefault="00777ED6">
          <w:pPr>
            <w:pStyle w:val="TDC2"/>
            <w:tabs>
              <w:tab w:val="right" w:leader="dot" w:pos="9350"/>
            </w:tabs>
            <w:rPr>
              <w:rFonts w:eastAsiaTheme="minorEastAsia" w:cstheme="minorBidi"/>
              <w:b w:val="0"/>
              <w:bCs w:val="0"/>
              <w:smallCap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28954043" w:history="1">
            <w:r w:rsidR="004E62C5" w:rsidRPr="007A4ECB">
              <w:rPr>
                <w:rStyle w:val="Hipervnculo"/>
                <w:noProof/>
              </w:rPr>
              <w:t>Introducción</w:t>
            </w:r>
            <w:r w:rsidR="004E62C5">
              <w:rPr>
                <w:noProof/>
                <w:webHidden/>
              </w:rPr>
              <w:tab/>
            </w:r>
            <w:r w:rsidR="004E62C5">
              <w:rPr>
                <w:noProof/>
                <w:webHidden/>
              </w:rPr>
              <w:fldChar w:fldCharType="begin"/>
            </w:r>
            <w:r w:rsidR="004E62C5">
              <w:rPr>
                <w:noProof/>
                <w:webHidden/>
              </w:rPr>
              <w:instrText xml:space="preserve"> PAGEREF _Toc228954043 \h </w:instrText>
            </w:r>
            <w:r w:rsidR="004E62C5">
              <w:rPr>
                <w:noProof/>
                <w:webHidden/>
              </w:rPr>
            </w:r>
            <w:r w:rsidR="004E62C5">
              <w:rPr>
                <w:noProof/>
                <w:webHidden/>
              </w:rPr>
              <w:fldChar w:fldCharType="separate"/>
            </w:r>
            <w:r w:rsidR="00F974A8">
              <w:rPr>
                <w:noProof/>
                <w:webHidden/>
              </w:rPr>
              <w:t>4</w:t>
            </w:r>
            <w:r w:rsidR="004E62C5">
              <w:rPr>
                <w:noProof/>
                <w:webHidden/>
              </w:rPr>
              <w:fldChar w:fldCharType="end"/>
            </w:r>
          </w:hyperlink>
        </w:p>
        <w:p w14:paraId="38ADCCB2" w14:textId="72AA84AC" w:rsidR="004E62C5" w:rsidRDefault="004E62C5">
          <w:pPr>
            <w:pStyle w:val="TDC2"/>
            <w:tabs>
              <w:tab w:val="right" w:leader="dot" w:pos="9350"/>
            </w:tabs>
            <w:rPr>
              <w:rFonts w:eastAsiaTheme="minorEastAsia" w:cstheme="minorBidi"/>
              <w:b w:val="0"/>
              <w:bCs w:val="0"/>
              <w:smallCaps w:val="0"/>
              <w:noProof/>
              <w:kern w:val="2"/>
              <w:sz w:val="24"/>
              <w:szCs w:val="24"/>
              <w14:ligatures w14:val="standardContextual"/>
            </w:rPr>
          </w:pPr>
          <w:hyperlink w:anchor="_Toc228954044" w:history="1">
            <w:r w:rsidRPr="007A4ECB">
              <w:rPr>
                <w:rStyle w:val="Hipervnculo"/>
                <w:noProof/>
              </w:rPr>
              <w:t>Resumen Ejecutivo</w:t>
            </w:r>
            <w:r>
              <w:rPr>
                <w:noProof/>
                <w:webHidden/>
              </w:rPr>
              <w:tab/>
            </w:r>
            <w:r>
              <w:rPr>
                <w:noProof/>
                <w:webHidden/>
              </w:rPr>
              <w:fldChar w:fldCharType="begin"/>
            </w:r>
            <w:r>
              <w:rPr>
                <w:noProof/>
                <w:webHidden/>
              </w:rPr>
              <w:instrText xml:space="preserve"> PAGEREF _Toc228954044 \h </w:instrText>
            </w:r>
            <w:r>
              <w:rPr>
                <w:noProof/>
                <w:webHidden/>
              </w:rPr>
            </w:r>
            <w:r>
              <w:rPr>
                <w:noProof/>
                <w:webHidden/>
              </w:rPr>
              <w:fldChar w:fldCharType="separate"/>
            </w:r>
            <w:r w:rsidR="00F974A8">
              <w:rPr>
                <w:noProof/>
                <w:webHidden/>
              </w:rPr>
              <w:t>5</w:t>
            </w:r>
            <w:r>
              <w:rPr>
                <w:noProof/>
                <w:webHidden/>
              </w:rPr>
              <w:fldChar w:fldCharType="end"/>
            </w:r>
          </w:hyperlink>
        </w:p>
        <w:p w14:paraId="7E92940A" w14:textId="1CC973CC" w:rsidR="004E62C5" w:rsidRDefault="004E62C5">
          <w:pPr>
            <w:pStyle w:val="TDC2"/>
            <w:tabs>
              <w:tab w:val="right" w:leader="dot" w:pos="9350"/>
            </w:tabs>
            <w:rPr>
              <w:rFonts w:eastAsiaTheme="minorEastAsia" w:cstheme="minorBidi"/>
              <w:b w:val="0"/>
              <w:bCs w:val="0"/>
              <w:smallCaps w:val="0"/>
              <w:noProof/>
              <w:kern w:val="2"/>
              <w:sz w:val="24"/>
              <w:szCs w:val="24"/>
              <w14:ligatures w14:val="standardContextual"/>
            </w:rPr>
          </w:pPr>
          <w:hyperlink w:anchor="_Toc228954045" w:history="1">
            <w:r w:rsidRPr="007A4ECB">
              <w:rPr>
                <w:rStyle w:val="Hipervnculo"/>
                <w:noProof/>
              </w:rPr>
              <w:t>Pilar 1: Urbanismo y Smart City Design</w:t>
            </w:r>
            <w:r>
              <w:rPr>
                <w:noProof/>
                <w:webHidden/>
              </w:rPr>
              <w:tab/>
            </w:r>
            <w:r>
              <w:rPr>
                <w:noProof/>
                <w:webHidden/>
              </w:rPr>
              <w:fldChar w:fldCharType="begin"/>
            </w:r>
            <w:r>
              <w:rPr>
                <w:noProof/>
                <w:webHidden/>
              </w:rPr>
              <w:instrText xml:space="preserve"> PAGEREF _Toc228954045 \h </w:instrText>
            </w:r>
            <w:r>
              <w:rPr>
                <w:noProof/>
                <w:webHidden/>
              </w:rPr>
            </w:r>
            <w:r>
              <w:rPr>
                <w:noProof/>
                <w:webHidden/>
              </w:rPr>
              <w:fldChar w:fldCharType="separate"/>
            </w:r>
            <w:r w:rsidR="00F974A8">
              <w:rPr>
                <w:noProof/>
                <w:webHidden/>
              </w:rPr>
              <w:t>6</w:t>
            </w:r>
            <w:r>
              <w:rPr>
                <w:noProof/>
                <w:webHidden/>
              </w:rPr>
              <w:fldChar w:fldCharType="end"/>
            </w:r>
          </w:hyperlink>
        </w:p>
        <w:p w14:paraId="5846397E" w14:textId="07EC3F81" w:rsidR="004E62C5" w:rsidRDefault="004E62C5">
          <w:pPr>
            <w:pStyle w:val="TDC3"/>
            <w:tabs>
              <w:tab w:val="right" w:leader="dot" w:pos="9350"/>
            </w:tabs>
            <w:rPr>
              <w:rFonts w:eastAsiaTheme="minorEastAsia" w:cstheme="minorBidi"/>
              <w:smallCaps w:val="0"/>
              <w:noProof/>
              <w:kern w:val="2"/>
              <w:sz w:val="24"/>
              <w:szCs w:val="24"/>
              <w14:ligatures w14:val="standardContextual"/>
            </w:rPr>
          </w:pPr>
          <w:hyperlink w:anchor="_Toc228954046" w:history="1">
            <w:r w:rsidRPr="007A4ECB">
              <w:rPr>
                <w:rStyle w:val="Hipervnculo"/>
                <w:noProof/>
              </w:rPr>
              <w:t>1.1. Visión Prospectiva: El Modelo de Proximidad Urbana</w:t>
            </w:r>
            <w:r>
              <w:rPr>
                <w:noProof/>
                <w:webHidden/>
              </w:rPr>
              <w:tab/>
            </w:r>
            <w:r>
              <w:rPr>
                <w:noProof/>
                <w:webHidden/>
              </w:rPr>
              <w:fldChar w:fldCharType="begin"/>
            </w:r>
            <w:r>
              <w:rPr>
                <w:noProof/>
                <w:webHidden/>
              </w:rPr>
              <w:instrText xml:space="preserve"> PAGEREF _Toc228954046 \h </w:instrText>
            </w:r>
            <w:r>
              <w:rPr>
                <w:noProof/>
                <w:webHidden/>
              </w:rPr>
            </w:r>
            <w:r>
              <w:rPr>
                <w:noProof/>
                <w:webHidden/>
              </w:rPr>
              <w:fldChar w:fldCharType="separate"/>
            </w:r>
            <w:r w:rsidR="00F974A8">
              <w:rPr>
                <w:noProof/>
                <w:webHidden/>
              </w:rPr>
              <w:t>6</w:t>
            </w:r>
            <w:r>
              <w:rPr>
                <w:noProof/>
                <w:webHidden/>
              </w:rPr>
              <w:fldChar w:fldCharType="end"/>
            </w:r>
          </w:hyperlink>
        </w:p>
        <w:p w14:paraId="19188C57" w14:textId="59BC87FC" w:rsidR="004E62C5" w:rsidRDefault="004E62C5">
          <w:pPr>
            <w:pStyle w:val="TDC3"/>
            <w:tabs>
              <w:tab w:val="right" w:leader="dot" w:pos="9350"/>
            </w:tabs>
            <w:rPr>
              <w:rFonts w:eastAsiaTheme="minorEastAsia" w:cstheme="minorBidi"/>
              <w:smallCaps w:val="0"/>
              <w:noProof/>
              <w:kern w:val="2"/>
              <w:sz w:val="24"/>
              <w:szCs w:val="24"/>
              <w14:ligatures w14:val="standardContextual"/>
            </w:rPr>
          </w:pPr>
          <w:hyperlink w:anchor="_Toc228954047" w:history="1">
            <w:r w:rsidRPr="007A4ECB">
              <w:rPr>
                <w:rStyle w:val="Hipervnculo"/>
                <w:noProof/>
              </w:rPr>
              <w:t>1.2. Plan Maestro de Infraestructura y Movilidad Multimodal</w:t>
            </w:r>
            <w:r>
              <w:rPr>
                <w:noProof/>
                <w:webHidden/>
              </w:rPr>
              <w:tab/>
            </w:r>
            <w:r>
              <w:rPr>
                <w:noProof/>
                <w:webHidden/>
              </w:rPr>
              <w:fldChar w:fldCharType="begin"/>
            </w:r>
            <w:r>
              <w:rPr>
                <w:noProof/>
                <w:webHidden/>
              </w:rPr>
              <w:instrText xml:space="preserve"> PAGEREF _Toc228954047 \h </w:instrText>
            </w:r>
            <w:r>
              <w:rPr>
                <w:noProof/>
                <w:webHidden/>
              </w:rPr>
            </w:r>
            <w:r>
              <w:rPr>
                <w:noProof/>
                <w:webHidden/>
              </w:rPr>
              <w:fldChar w:fldCharType="separate"/>
            </w:r>
            <w:r w:rsidR="00F974A8">
              <w:rPr>
                <w:noProof/>
                <w:webHidden/>
              </w:rPr>
              <w:t>6</w:t>
            </w:r>
            <w:r>
              <w:rPr>
                <w:noProof/>
                <w:webHidden/>
              </w:rPr>
              <w:fldChar w:fldCharType="end"/>
            </w:r>
          </w:hyperlink>
        </w:p>
        <w:p w14:paraId="5DCC98DB" w14:textId="5FA596CE" w:rsidR="004E62C5" w:rsidRDefault="004E62C5">
          <w:pPr>
            <w:pStyle w:val="TDC3"/>
            <w:tabs>
              <w:tab w:val="right" w:leader="dot" w:pos="9350"/>
            </w:tabs>
            <w:rPr>
              <w:rFonts w:eastAsiaTheme="minorEastAsia" w:cstheme="minorBidi"/>
              <w:smallCaps w:val="0"/>
              <w:noProof/>
              <w:kern w:val="2"/>
              <w:sz w:val="24"/>
              <w:szCs w:val="24"/>
              <w14:ligatures w14:val="standardContextual"/>
            </w:rPr>
          </w:pPr>
          <w:hyperlink w:anchor="_Toc228954048" w:history="1">
            <w:r w:rsidRPr="007A4ECB">
              <w:rPr>
                <w:rStyle w:val="Hipervnculo"/>
                <w:noProof/>
              </w:rPr>
              <w:t>1.3. Ingeniería de Resiliencia: Regeneración del Tejido Urbano</w:t>
            </w:r>
            <w:r>
              <w:rPr>
                <w:noProof/>
                <w:webHidden/>
              </w:rPr>
              <w:tab/>
            </w:r>
            <w:r>
              <w:rPr>
                <w:noProof/>
                <w:webHidden/>
              </w:rPr>
              <w:fldChar w:fldCharType="begin"/>
            </w:r>
            <w:r>
              <w:rPr>
                <w:noProof/>
                <w:webHidden/>
              </w:rPr>
              <w:instrText xml:space="preserve"> PAGEREF _Toc228954048 \h </w:instrText>
            </w:r>
            <w:r>
              <w:rPr>
                <w:noProof/>
                <w:webHidden/>
              </w:rPr>
            </w:r>
            <w:r>
              <w:rPr>
                <w:noProof/>
                <w:webHidden/>
              </w:rPr>
              <w:fldChar w:fldCharType="separate"/>
            </w:r>
            <w:r w:rsidR="00F974A8">
              <w:rPr>
                <w:noProof/>
                <w:webHidden/>
              </w:rPr>
              <w:t>6</w:t>
            </w:r>
            <w:r>
              <w:rPr>
                <w:noProof/>
                <w:webHidden/>
              </w:rPr>
              <w:fldChar w:fldCharType="end"/>
            </w:r>
          </w:hyperlink>
        </w:p>
        <w:p w14:paraId="0D10ECB1" w14:textId="3C300477" w:rsidR="004E62C5" w:rsidRDefault="004E62C5">
          <w:pPr>
            <w:pStyle w:val="TDC2"/>
            <w:tabs>
              <w:tab w:val="right" w:leader="dot" w:pos="9350"/>
            </w:tabs>
            <w:rPr>
              <w:rFonts w:eastAsiaTheme="minorEastAsia" w:cstheme="minorBidi"/>
              <w:b w:val="0"/>
              <w:bCs w:val="0"/>
              <w:smallCaps w:val="0"/>
              <w:noProof/>
              <w:kern w:val="2"/>
              <w:sz w:val="24"/>
              <w:szCs w:val="24"/>
              <w14:ligatures w14:val="standardContextual"/>
            </w:rPr>
          </w:pPr>
          <w:hyperlink w:anchor="_Toc228954049" w:history="1">
            <w:r w:rsidRPr="007A4ECB">
              <w:rPr>
                <w:rStyle w:val="Hipervnculo"/>
                <w:noProof/>
              </w:rPr>
              <w:t>Pilar 2: Viabilidad Financiera e Inversión</w:t>
            </w:r>
            <w:r>
              <w:rPr>
                <w:noProof/>
                <w:webHidden/>
              </w:rPr>
              <w:tab/>
            </w:r>
            <w:r>
              <w:rPr>
                <w:noProof/>
                <w:webHidden/>
              </w:rPr>
              <w:fldChar w:fldCharType="begin"/>
            </w:r>
            <w:r>
              <w:rPr>
                <w:noProof/>
                <w:webHidden/>
              </w:rPr>
              <w:instrText xml:space="preserve"> PAGEREF _Toc228954049 \h </w:instrText>
            </w:r>
            <w:r>
              <w:rPr>
                <w:noProof/>
                <w:webHidden/>
              </w:rPr>
            </w:r>
            <w:r>
              <w:rPr>
                <w:noProof/>
                <w:webHidden/>
              </w:rPr>
              <w:fldChar w:fldCharType="separate"/>
            </w:r>
            <w:r w:rsidR="00F974A8">
              <w:rPr>
                <w:noProof/>
                <w:webHidden/>
              </w:rPr>
              <w:t>7</w:t>
            </w:r>
            <w:r>
              <w:rPr>
                <w:noProof/>
                <w:webHidden/>
              </w:rPr>
              <w:fldChar w:fldCharType="end"/>
            </w:r>
          </w:hyperlink>
        </w:p>
        <w:p w14:paraId="5D5501B0" w14:textId="33E1BAB2" w:rsidR="004E62C5" w:rsidRDefault="004E62C5">
          <w:pPr>
            <w:pStyle w:val="TDC2"/>
            <w:tabs>
              <w:tab w:val="right" w:leader="dot" w:pos="9350"/>
            </w:tabs>
            <w:rPr>
              <w:rFonts w:eastAsiaTheme="minorEastAsia" w:cstheme="minorBidi"/>
              <w:b w:val="0"/>
              <w:bCs w:val="0"/>
              <w:smallCaps w:val="0"/>
              <w:noProof/>
              <w:kern w:val="2"/>
              <w:sz w:val="24"/>
              <w:szCs w:val="24"/>
              <w14:ligatures w14:val="standardContextual"/>
            </w:rPr>
          </w:pPr>
          <w:hyperlink w:anchor="_Toc228954050" w:history="1">
            <w:r w:rsidRPr="007A4ECB">
              <w:rPr>
                <w:rStyle w:val="Hipervnculo"/>
                <w:noProof/>
              </w:rPr>
              <w:t>Pilar 3: Tecnología e Innovación</w:t>
            </w:r>
            <w:r>
              <w:rPr>
                <w:noProof/>
                <w:webHidden/>
              </w:rPr>
              <w:tab/>
            </w:r>
            <w:r>
              <w:rPr>
                <w:noProof/>
                <w:webHidden/>
              </w:rPr>
              <w:fldChar w:fldCharType="begin"/>
            </w:r>
            <w:r>
              <w:rPr>
                <w:noProof/>
                <w:webHidden/>
              </w:rPr>
              <w:instrText xml:space="preserve"> PAGEREF _Toc228954050 \h </w:instrText>
            </w:r>
            <w:r>
              <w:rPr>
                <w:noProof/>
                <w:webHidden/>
              </w:rPr>
            </w:r>
            <w:r>
              <w:rPr>
                <w:noProof/>
                <w:webHidden/>
              </w:rPr>
              <w:fldChar w:fldCharType="separate"/>
            </w:r>
            <w:r w:rsidR="00F974A8">
              <w:rPr>
                <w:noProof/>
                <w:webHidden/>
              </w:rPr>
              <w:t>9</w:t>
            </w:r>
            <w:r>
              <w:rPr>
                <w:noProof/>
                <w:webHidden/>
              </w:rPr>
              <w:fldChar w:fldCharType="end"/>
            </w:r>
          </w:hyperlink>
        </w:p>
        <w:p w14:paraId="212EB067" w14:textId="7C633BC2" w:rsidR="004E62C5" w:rsidRDefault="004E62C5">
          <w:pPr>
            <w:pStyle w:val="TDC2"/>
            <w:tabs>
              <w:tab w:val="right" w:leader="dot" w:pos="9350"/>
            </w:tabs>
            <w:rPr>
              <w:rFonts w:eastAsiaTheme="minorEastAsia" w:cstheme="minorBidi"/>
              <w:b w:val="0"/>
              <w:bCs w:val="0"/>
              <w:smallCaps w:val="0"/>
              <w:noProof/>
              <w:kern w:val="2"/>
              <w:sz w:val="24"/>
              <w:szCs w:val="24"/>
              <w14:ligatures w14:val="standardContextual"/>
            </w:rPr>
          </w:pPr>
          <w:hyperlink w:anchor="_Toc228954051" w:history="1">
            <w:r w:rsidRPr="007A4ECB">
              <w:rPr>
                <w:rStyle w:val="Hipervnculo"/>
                <w:noProof/>
              </w:rPr>
              <w:t>Pilar 4: Marco Legal, Gobernanza y ODS</w:t>
            </w:r>
            <w:r>
              <w:rPr>
                <w:noProof/>
                <w:webHidden/>
              </w:rPr>
              <w:tab/>
            </w:r>
            <w:r>
              <w:rPr>
                <w:noProof/>
                <w:webHidden/>
              </w:rPr>
              <w:fldChar w:fldCharType="begin"/>
            </w:r>
            <w:r>
              <w:rPr>
                <w:noProof/>
                <w:webHidden/>
              </w:rPr>
              <w:instrText xml:space="preserve"> PAGEREF _Toc228954051 \h </w:instrText>
            </w:r>
            <w:r>
              <w:rPr>
                <w:noProof/>
                <w:webHidden/>
              </w:rPr>
            </w:r>
            <w:r>
              <w:rPr>
                <w:noProof/>
                <w:webHidden/>
              </w:rPr>
              <w:fldChar w:fldCharType="separate"/>
            </w:r>
            <w:r w:rsidR="00F974A8">
              <w:rPr>
                <w:noProof/>
                <w:webHidden/>
              </w:rPr>
              <w:t>11</w:t>
            </w:r>
            <w:r>
              <w:rPr>
                <w:noProof/>
                <w:webHidden/>
              </w:rPr>
              <w:fldChar w:fldCharType="end"/>
            </w:r>
          </w:hyperlink>
        </w:p>
        <w:p w14:paraId="173235BD" w14:textId="2B1AB05F" w:rsidR="004E62C5" w:rsidRDefault="004E62C5">
          <w:pPr>
            <w:pStyle w:val="TDC2"/>
            <w:tabs>
              <w:tab w:val="right" w:leader="dot" w:pos="9350"/>
            </w:tabs>
            <w:rPr>
              <w:rFonts w:eastAsiaTheme="minorEastAsia" w:cstheme="minorBidi"/>
              <w:b w:val="0"/>
              <w:bCs w:val="0"/>
              <w:smallCaps w:val="0"/>
              <w:noProof/>
              <w:kern w:val="2"/>
              <w:sz w:val="24"/>
              <w:szCs w:val="24"/>
              <w14:ligatures w14:val="standardContextual"/>
            </w:rPr>
          </w:pPr>
          <w:hyperlink w:anchor="_Toc228954052" w:history="1">
            <w:r w:rsidRPr="007A4ECB">
              <w:rPr>
                <w:rStyle w:val="Hipervnculo"/>
                <w:noProof/>
              </w:rPr>
              <w:t>Pilar 5: Pitch, Comunicación y Ventas</w:t>
            </w:r>
            <w:r>
              <w:rPr>
                <w:noProof/>
                <w:webHidden/>
              </w:rPr>
              <w:tab/>
            </w:r>
            <w:r>
              <w:rPr>
                <w:noProof/>
                <w:webHidden/>
              </w:rPr>
              <w:fldChar w:fldCharType="begin"/>
            </w:r>
            <w:r>
              <w:rPr>
                <w:noProof/>
                <w:webHidden/>
              </w:rPr>
              <w:instrText xml:space="preserve"> PAGEREF _Toc228954052 \h </w:instrText>
            </w:r>
            <w:r>
              <w:rPr>
                <w:noProof/>
                <w:webHidden/>
              </w:rPr>
            </w:r>
            <w:r>
              <w:rPr>
                <w:noProof/>
                <w:webHidden/>
              </w:rPr>
              <w:fldChar w:fldCharType="separate"/>
            </w:r>
            <w:r w:rsidR="00F974A8">
              <w:rPr>
                <w:noProof/>
                <w:webHidden/>
              </w:rPr>
              <w:t>13</w:t>
            </w:r>
            <w:r>
              <w:rPr>
                <w:noProof/>
                <w:webHidden/>
              </w:rPr>
              <w:fldChar w:fldCharType="end"/>
            </w:r>
          </w:hyperlink>
        </w:p>
        <w:p w14:paraId="7C4450B9" w14:textId="5292B977" w:rsidR="004E62C5" w:rsidRDefault="004E62C5">
          <w:pPr>
            <w:pStyle w:val="TDC2"/>
            <w:tabs>
              <w:tab w:val="right" w:leader="dot" w:pos="9350"/>
            </w:tabs>
            <w:rPr>
              <w:rFonts w:eastAsiaTheme="minorEastAsia" w:cstheme="minorBidi"/>
              <w:b w:val="0"/>
              <w:bCs w:val="0"/>
              <w:smallCaps w:val="0"/>
              <w:noProof/>
              <w:kern w:val="2"/>
              <w:sz w:val="24"/>
              <w:szCs w:val="24"/>
              <w14:ligatures w14:val="standardContextual"/>
            </w:rPr>
          </w:pPr>
          <w:hyperlink w:anchor="_Toc228954053" w:history="1">
            <w:r w:rsidRPr="007A4ECB">
              <w:rPr>
                <w:rStyle w:val="Hipervnculo"/>
                <w:noProof/>
              </w:rPr>
              <w:t>Conclusión</w:t>
            </w:r>
            <w:r>
              <w:rPr>
                <w:noProof/>
                <w:webHidden/>
              </w:rPr>
              <w:tab/>
            </w:r>
            <w:r>
              <w:rPr>
                <w:noProof/>
                <w:webHidden/>
              </w:rPr>
              <w:fldChar w:fldCharType="begin"/>
            </w:r>
            <w:r>
              <w:rPr>
                <w:noProof/>
                <w:webHidden/>
              </w:rPr>
              <w:instrText xml:space="preserve"> PAGEREF _Toc228954053 \h </w:instrText>
            </w:r>
            <w:r>
              <w:rPr>
                <w:noProof/>
                <w:webHidden/>
              </w:rPr>
            </w:r>
            <w:r>
              <w:rPr>
                <w:noProof/>
                <w:webHidden/>
              </w:rPr>
              <w:fldChar w:fldCharType="separate"/>
            </w:r>
            <w:r w:rsidR="00F974A8">
              <w:rPr>
                <w:noProof/>
                <w:webHidden/>
              </w:rPr>
              <w:t>15</w:t>
            </w:r>
            <w:r>
              <w:rPr>
                <w:noProof/>
                <w:webHidden/>
              </w:rPr>
              <w:fldChar w:fldCharType="end"/>
            </w:r>
          </w:hyperlink>
        </w:p>
        <w:p w14:paraId="63D9CAD5" w14:textId="32E02DBD" w:rsidR="004E62C5" w:rsidRDefault="004E62C5">
          <w:pPr>
            <w:pStyle w:val="TDC2"/>
            <w:tabs>
              <w:tab w:val="right" w:leader="dot" w:pos="9350"/>
            </w:tabs>
            <w:rPr>
              <w:rFonts w:eastAsiaTheme="minorEastAsia" w:cstheme="minorBidi"/>
              <w:b w:val="0"/>
              <w:bCs w:val="0"/>
              <w:smallCaps w:val="0"/>
              <w:noProof/>
              <w:kern w:val="2"/>
              <w:sz w:val="24"/>
              <w:szCs w:val="24"/>
              <w14:ligatures w14:val="standardContextual"/>
            </w:rPr>
          </w:pPr>
          <w:hyperlink w:anchor="_Toc228954054" w:history="1">
            <w:r w:rsidRPr="007A4ECB">
              <w:rPr>
                <w:rStyle w:val="Hipervnculo"/>
                <w:noProof/>
              </w:rPr>
              <w:t>Referencias</w:t>
            </w:r>
            <w:r>
              <w:rPr>
                <w:noProof/>
                <w:webHidden/>
              </w:rPr>
              <w:tab/>
            </w:r>
            <w:r>
              <w:rPr>
                <w:noProof/>
                <w:webHidden/>
              </w:rPr>
              <w:fldChar w:fldCharType="begin"/>
            </w:r>
            <w:r>
              <w:rPr>
                <w:noProof/>
                <w:webHidden/>
              </w:rPr>
              <w:instrText xml:space="preserve"> PAGEREF _Toc228954054 \h </w:instrText>
            </w:r>
            <w:r>
              <w:rPr>
                <w:noProof/>
                <w:webHidden/>
              </w:rPr>
            </w:r>
            <w:r>
              <w:rPr>
                <w:noProof/>
                <w:webHidden/>
              </w:rPr>
              <w:fldChar w:fldCharType="separate"/>
            </w:r>
            <w:r w:rsidR="00F974A8">
              <w:rPr>
                <w:noProof/>
                <w:webHidden/>
              </w:rPr>
              <w:t>16</w:t>
            </w:r>
            <w:r>
              <w:rPr>
                <w:noProof/>
                <w:webHidden/>
              </w:rPr>
              <w:fldChar w:fldCharType="end"/>
            </w:r>
          </w:hyperlink>
        </w:p>
        <w:p w14:paraId="1EFF91E8" w14:textId="3547305C" w:rsidR="00777ED6" w:rsidRDefault="00777ED6">
          <w:r>
            <w:rPr>
              <w:b/>
              <w:bCs/>
              <w:noProof/>
            </w:rPr>
            <w:fldChar w:fldCharType="end"/>
          </w:r>
        </w:p>
      </w:sdtContent>
    </w:sdt>
    <w:p w14:paraId="4ADA9E93" w14:textId="77777777" w:rsidR="0023720B" w:rsidRDefault="0023720B"/>
    <w:p w14:paraId="30464049" w14:textId="77777777" w:rsidR="0023720B" w:rsidRDefault="0023720B"/>
    <w:p w14:paraId="7E264879" w14:textId="77777777" w:rsidR="0023720B" w:rsidRDefault="0023720B"/>
    <w:p w14:paraId="186EBDA2" w14:textId="77777777" w:rsidR="0023720B" w:rsidRDefault="0023720B"/>
    <w:p w14:paraId="6781864C" w14:textId="77777777" w:rsidR="0023720B" w:rsidRDefault="0023720B"/>
    <w:p w14:paraId="6FC4B0F5" w14:textId="77777777" w:rsidR="0023720B" w:rsidRDefault="0023720B"/>
    <w:p w14:paraId="2239CA32" w14:textId="77777777" w:rsidR="0023720B" w:rsidRDefault="0023720B"/>
    <w:p w14:paraId="33A40553" w14:textId="77777777" w:rsidR="0023720B" w:rsidRDefault="0023720B"/>
    <w:p w14:paraId="10B48AD7" w14:textId="77777777" w:rsidR="0023720B" w:rsidRDefault="0023720B"/>
    <w:p w14:paraId="02FBBEAD" w14:textId="77777777" w:rsidR="0023720B" w:rsidRDefault="0023720B"/>
    <w:p w14:paraId="28231796" w14:textId="77777777" w:rsidR="0023720B" w:rsidRDefault="0023720B"/>
    <w:p w14:paraId="4A1FFF5A" w14:textId="77777777" w:rsidR="0023720B" w:rsidRDefault="0023720B"/>
    <w:p w14:paraId="70C763B4" w14:textId="77777777" w:rsidR="0023720B" w:rsidRDefault="0023720B"/>
    <w:p w14:paraId="05AD241C" w14:textId="77777777" w:rsidR="0023720B" w:rsidRDefault="0023720B"/>
    <w:p w14:paraId="16E04613" w14:textId="77777777" w:rsidR="0023720B" w:rsidRDefault="0023720B"/>
    <w:p w14:paraId="03A9FD44" w14:textId="77777777" w:rsidR="0023720B" w:rsidRDefault="0023720B"/>
    <w:p w14:paraId="7B6ED007" w14:textId="77777777" w:rsidR="0023720B" w:rsidRDefault="0023720B"/>
    <w:p w14:paraId="6BE29C7B" w14:textId="77777777" w:rsidR="0023720B" w:rsidRDefault="0023720B"/>
    <w:p w14:paraId="068D6210" w14:textId="77777777" w:rsidR="0023720B" w:rsidRDefault="0023720B"/>
    <w:p w14:paraId="514FB36F" w14:textId="77777777" w:rsidR="0023720B" w:rsidRDefault="0023720B"/>
    <w:p w14:paraId="122225F7" w14:textId="77777777" w:rsidR="0023720B" w:rsidRDefault="0023720B"/>
    <w:p w14:paraId="6CA77151" w14:textId="77777777" w:rsidR="0023720B" w:rsidRDefault="0023720B"/>
    <w:p w14:paraId="69BF74DB" w14:textId="77777777" w:rsidR="0023720B" w:rsidRDefault="0023720B"/>
    <w:p w14:paraId="31BA234F" w14:textId="77777777" w:rsidR="0023720B" w:rsidRDefault="0023720B"/>
    <w:p w14:paraId="2FCBBB1A" w14:textId="77777777" w:rsidR="0023720B" w:rsidRDefault="0023720B"/>
    <w:p w14:paraId="5ECE97BF" w14:textId="77777777" w:rsidR="0023720B" w:rsidRDefault="0023720B"/>
    <w:p w14:paraId="6FBC436E" w14:textId="77777777" w:rsidR="007A2240" w:rsidRDefault="007A2240"/>
    <w:p w14:paraId="0770A6ED" w14:textId="77777777" w:rsidR="007A2240" w:rsidRDefault="007A2240"/>
    <w:p w14:paraId="00D0FE92" w14:textId="77777777" w:rsidR="007A2240" w:rsidRDefault="007A2240"/>
    <w:p w14:paraId="3C56DE4D" w14:textId="77777777" w:rsidR="0023720B" w:rsidRDefault="0023720B"/>
    <w:p w14:paraId="160F574A" w14:textId="199E917A" w:rsidR="007D4EE9" w:rsidRPr="00B901B2" w:rsidRDefault="007D4EE9" w:rsidP="007D4EE9">
      <w:pPr>
        <w:pStyle w:val="Ttulo2"/>
        <w:jc w:val="both"/>
      </w:pPr>
      <w:bookmarkStart w:id="0" w:name="_Toc228954043"/>
      <w:r w:rsidRPr="00B901B2">
        <w:lastRenderedPageBreak/>
        <w:t>Introducción</w:t>
      </w:r>
      <w:bookmarkEnd w:id="0"/>
    </w:p>
    <w:p w14:paraId="65946DAC" w14:textId="77777777" w:rsidR="007D4EE9" w:rsidRPr="00B901B2" w:rsidRDefault="007D4EE9" w:rsidP="007D4EE9">
      <w:pPr>
        <w:pStyle w:val="font-claude-response-body"/>
        <w:jc w:val="both"/>
        <w:rPr>
          <w:rFonts w:ascii="Arial" w:hAnsi="Arial" w:cs="Arial"/>
        </w:rPr>
      </w:pPr>
      <w:r w:rsidRPr="00B901B2">
        <w:rPr>
          <w:rFonts w:ascii="Arial" w:hAnsi="Arial" w:cs="Arial"/>
        </w:rPr>
        <w:t>La República Dominicana se encuentra en un momento histórico de decisión. Santo Domingo, hogar del 40% del PIB nacional y más de 3.7 millones de personas, enfrenta una crisis silenciosa de crecimiento desordenado que amenaza con convertirse en un freno estructural para el desarrollo del país en la próxima década.</w:t>
      </w:r>
    </w:p>
    <w:p w14:paraId="0A405DBE" w14:textId="77777777" w:rsidR="007D4EE9" w:rsidRPr="00B901B2" w:rsidRDefault="007D4EE9" w:rsidP="007D4EE9">
      <w:pPr>
        <w:pStyle w:val="font-claude-response-body"/>
        <w:jc w:val="both"/>
        <w:rPr>
          <w:rFonts w:ascii="Arial" w:hAnsi="Arial" w:cs="Arial"/>
        </w:rPr>
      </w:pPr>
      <w:r w:rsidRPr="00B901B2">
        <w:rPr>
          <w:rFonts w:ascii="Arial" w:hAnsi="Arial" w:cs="Arial"/>
        </w:rPr>
        <w:t>El modelo urbano actual ha llegado a su límite operativo. La expansión horizontal descontrolada ha fragmentado el tejido de la ciudad, generando una dependencia crítica del vehículo privado, un colapso sistemático de la movilidad y una infraestructura energética que aún lucha por ser sostenible. El ciudadano promedio pierde entre 90 y 120 minutos diarios en tráfico, lo que no es solo un inconveniente: es una pérdida masiva de productividad, tiempo familiar y calidad de vida.</w:t>
      </w:r>
    </w:p>
    <w:p w14:paraId="6258F7F8" w14:textId="77777777" w:rsidR="007D4EE9" w:rsidRPr="00B901B2" w:rsidRDefault="007D4EE9" w:rsidP="007D4EE9">
      <w:pPr>
        <w:pStyle w:val="font-claude-response-body"/>
        <w:jc w:val="both"/>
        <w:rPr>
          <w:rFonts w:ascii="Arial" w:hAnsi="Arial" w:cs="Arial"/>
        </w:rPr>
      </w:pPr>
      <w:r w:rsidRPr="00B901B2">
        <w:rPr>
          <w:rFonts w:ascii="Arial" w:hAnsi="Arial" w:cs="Arial"/>
        </w:rPr>
        <w:t>Frente a este escenario, el Desafío Ciudad del Futuro 2036 plantea una pregunta que no podemos eludir:</w:t>
      </w:r>
    </w:p>
    <w:p w14:paraId="0A2DDCE8" w14:textId="77777777" w:rsidR="007D4EE9" w:rsidRPr="00B901B2" w:rsidRDefault="007D4EE9" w:rsidP="007D4EE9">
      <w:pPr>
        <w:pStyle w:val="font-claude-response-body"/>
        <w:jc w:val="both"/>
        <w:rPr>
          <w:rFonts w:ascii="Arial" w:hAnsi="Arial" w:cs="Arial"/>
        </w:rPr>
      </w:pPr>
      <w:r w:rsidRPr="00B901B2">
        <w:rPr>
          <w:rStyle w:val="Fuerte"/>
          <w:rFonts w:ascii="Arial" w:hAnsi="Arial" w:cs="Arial"/>
        </w:rPr>
        <w:t>¿Cómo debería evolucionar nuestro modelo de ciudad y desarrollo inmobiliario para construir un país más sostenible, eficiente y próspero en la próxima década?</w:t>
      </w:r>
    </w:p>
    <w:p w14:paraId="1C8074C5" w14:textId="77777777" w:rsidR="007D4EE9" w:rsidRPr="00B901B2" w:rsidRDefault="007D4EE9" w:rsidP="007D4EE9">
      <w:pPr>
        <w:pStyle w:val="font-claude-response-body"/>
        <w:jc w:val="both"/>
        <w:rPr>
          <w:rFonts w:ascii="Arial" w:hAnsi="Arial" w:cs="Arial"/>
        </w:rPr>
      </w:pPr>
      <w:r w:rsidRPr="00B901B2">
        <w:rPr>
          <w:rFonts w:ascii="Arial" w:hAnsi="Arial" w:cs="Arial"/>
        </w:rPr>
        <w:t>Nuestra respuesta, desarrollada por el equipo de la Universidad Abierta para Adultos (UAPA), no es una utopía importada ni un ejercicio teórico. Es una propuesta concreta, legalmente habilitada, financieramente viable y tecnológicamente fundamentada, que profundiza procesos que el país ya inició y articula recursos que ya existen.</w:t>
      </w:r>
    </w:p>
    <w:p w14:paraId="070C5DCC" w14:textId="77777777" w:rsidR="007D4EE9" w:rsidRPr="00B901B2" w:rsidRDefault="007D4EE9" w:rsidP="007D4EE9">
      <w:pPr>
        <w:pStyle w:val="font-claude-response-body"/>
        <w:jc w:val="both"/>
        <w:rPr>
          <w:rFonts w:ascii="Arial" w:hAnsi="Arial" w:cs="Arial"/>
        </w:rPr>
      </w:pPr>
      <w:r w:rsidRPr="00B901B2">
        <w:rPr>
          <w:rFonts w:ascii="Arial" w:hAnsi="Arial" w:cs="Arial"/>
        </w:rPr>
        <w:t>El documento que presentamos a continuación está organizado en cinco pilares de evaluación, cada uno respondiendo a dimensiones específicas del reto urbano: urbanismo inteligente, viabilidad financiera, tecnología e innovación, marco legal y gobernanza, y comunicación estratégica. La propuesta se sustenta en la Ley 1-12 de Estrategia Nacional de Desarrollo 2030, se alinea con los Objetivos de Desarrollo Sostenible priorizados por el desafío, y utiliza doce leyes dominicanas vigentes sin requerir ninguna reforma de fondo.</w:t>
      </w:r>
    </w:p>
    <w:p w14:paraId="0076FF61" w14:textId="77777777" w:rsidR="007D4EE9" w:rsidRPr="00B901B2" w:rsidRDefault="007D4EE9" w:rsidP="007D4EE9">
      <w:pPr>
        <w:pStyle w:val="font-claude-response-body"/>
        <w:jc w:val="both"/>
        <w:rPr>
          <w:rFonts w:ascii="Arial" w:hAnsi="Arial" w:cs="Arial"/>
        </w:rPr>
      </w:pPr>
      <w:r w:rsidRPr="00B901B2">
        <w:rPr>
          <w:rFonts w:ascii="Arial" w:hAnsi="Arial" w:cs="Arial"/>
        </w:rPr>
        <w:t>Santo Domingo 2036 no pide construir un país nuevo. Pide terminar lo que ya se empezó, con método, visión compartida y la convicción de que el futuro urbano de la República Dominicana se decide hoy.</w:t>
      </w:r>
    </w:p>
    <w:p w14:paraId="458B9144" w14:textId="77777777" w:rsidR="0023720B" w:rsidRPr="00B901B2" w:rsidRDefault="0023720B" w:rsidP="007D4EE9">
      <w:pPr>
        <w:jc w:val="both"/>
        <w:rPr>
          <w:sz w:val="24"/>
          <w:szCs w:val="24"/>
        </w:rPr>
      </w:pPr>
    </w:p>
    <w:p w14:paraId="604D2E64" w14:textId="77777777" w:rsidR="0023720B" w:rsidRPr="00B901B2" w:rsidRDefault="0023720B" w:rsidP="007D4EE9">
      <w:pPr>
        <w:jc w:val="both"/>
        <w:rPr>
          <w:sz w:val="24"/>
          <w:szCs w:val="24"/>
        </w:rPr>
      </w:pPr>
    </w:p>
    <w:p w14:paraId="63EF4E9E" w14:textId="77777777" w:rsidR="00777ED6" w:rsidRDefault="00777ED6" w:rsidP="007D4EE9">
      <w:pPr>
        <w:jc w:val="both"/>
      </w:pPr>
    </w:p>
    <w:p w14:paraId="3BAAFEA1" w14:textId="77777777" w:rsidR="00777ED6" w:rsidRDefault="00777ED6" w:rsidP="007D4EE9">
      <w:pPr>
        <w:jc w:val="both"/>
      </w:pPr>
    </w:p>
    <w:p w14:paraId="0ED01828" w14:textId="77777777" w:rsidR="00777ED6" w:rsidRDefault="00777ED6" w:rsidP="007D4EE9">
      <w:pPr>
        <w:jc w:val="both"/>
      </w:pPr>
    </w:p>
    <w:p w14:paraId="6075F662" w14:textId="77777777" w:rsidR="00777ED6" w:rsidRDefault="00777ED6" w:rsidP="007D4EE9">
      <w:pPr>
        <w:jc w:val="both"/>
      </w:pPr>
    </w:p>
    <w:p w14:paraId="69209B2B" w14:textId="77777777" w:rsidR="00777ED6" w:rsidRDefault="00777ED6" w:rsidP="007D4EE9">
      <w:pPr>
        <w:jc w:val="both"/>
      </w:pPr>
    </w:p>
    <w:p w14:paraId="11AA22C4" w14:textId="77777777" w:rsidR="00777ED6" w:rsidRDefault="00777ED6" w:rsidP="007D4EE9">
      <w:pPr>
        <w:jc w:val="both"/>
      </w:pPr>
    </w:p>
    <w:p w14:paraId="0D07931C" w14:textId="77777777" w:rsidR="007D4EE9" w:rsidRPr="00B901B2" w:rsidRDefault="007D4EE9" w:rsidP="007D4EE9">
      <w:pPr>
        <w:jc w:val="both"/>
        <w:rPr>
          <w:sz w:val="24"/>
          <w:szCs w:val="24"/>
        </w:rPr>
      </w:pPr>
    </w:p>
    <w:p w14:paraId="4FC099E3" w14:textId="31A7F966" w:rsidR="00777ED6" w:rsidRPr="00B901B2" w:rsidRDefault="00777ED6" w:rsidP="00FD525D">
      <w:pPr>
        <w:pStyle w:val="Ttulo2"/>
        <w:jc w:val="both"/>
        <w:rPr>
          <w:sz w:val="24"/>
          <w:szCs w:val="24"/>
        </w:rPr>
      </w:pPr>
      <w:bookmarkStart w:id="1" w:name="_Toc228954044"/>
      <w:r w:rsidRPr="00B901B2">
        <w:rPr>
          <w:sz w:val="24"/>
          <w:szCs w:val="24"/>
        </w:rPr>
        <w:lastRenderedPageBreak/>
        <w:t>Resumen Ejecutivo</w:t>
      </w:r>
      <w:bookmarkEnd w:id="1"/>
    </w:p>
    <w:p w14:paraId="3830AAD4" w14:textId="77777777" w:rsidR="00FD525D" w:rsidRPr="00B901B2" w:rsidRDefault="00777ED6" w:rsidP="00FD525D">
      <w:pPr>
        <w:pStyle w:val="font-claude-response-body"/>
        <w:jc w:val="both"/>
      </w:pPr>
      <w:r w:rsidRPr="00B901B2">
        <w:rPr>
          <w:rStyle w:val="Fuerte"/>
        </w:rPr>
        <w:t>¿Qué proponemos?</w:t>
      </w:r>
      <w:r w:rsidRPr="00B901B2">
        <w:t xml:space="preserve"> </w:t>
      </w:r>
    </w:p>
    <w:p w14:paraId="2ADC710F" w14:textId="6113304C" w:rsidR="00777ED6" w:rsidRPr="00B901B2" w:rsidRDefault="00777ED6" w:rsidP="00FD525D">
      <w:pPr>
        <w:pStyle w:val="font-claude-response-body"/>
        <w:jc w:val="both"/>
      </w:pPr>
      <w:r w:rsidRPr="00B901B2">
        <w:t>Reorganizar el Distrito Nacional y el Gran Santo Domingo entre 2026 y 2036 mediante tres ejes interdependientes: la expansión del sistema masivo de transporte (Metro, Líneas 3 y 4), la modernización de barrios con resiliencia climática frente al Ozama, y la creación de un Distrito Histórico-Tecnológico que concentre el ecosistema de innovación dominicano. Un cuarto eje transversal de educación STEAM da viabilidad humana y de largo plazo al modelo.</w:t>
      </w:r>
    </w:p>
    <w:p w14:paraId="65EA0CE3" w14:textId="77777777" w:rsidR="00777ED6" w:rsidRPr="00B901B2" w:rsidRDefault="00777ED6" w:rsidP="00FD525D">
      <w:pPr>
        <w:pStyle w:val="font-claude-response-body"/>
        <w:jc w:val="both"/>
      </w:pPr>
      <w:r w:rsidRPr="00B901B2">
        <w:rPr>
          <w:rStyle w:val="Fuerte"/>
        </w:rPr>
        <w:t>Cifras clave:</w:t>
      </w:r>
    </w:p>
    <w:p w14:paraId="5EFD4265" w14:textId="77777777" w:rsidR="00777ED6" w:rsidRPr="00B901B2" w:rsidRDefault="00777ED6" w:rsidP="00FD525D">
      <w:pPr>
        <w:pStyle w:val="whitespace-normal"/>
        <w:numPr>
          <w:ilvl w:val="0"/>
          <w:numId w:val="3"/>
        </w:numPr>
        <w:jc w:val="both"/>
      </w:pPr>
      <w:r w:rsidRPr="00B901B2">
        <w:t>Inversión total estimada: USD 7,300 millones en 11 años</w:t>
      </w:r>
    </w:p>
    <w:p w14:paraId="34E9060B" w14:textId="77777777" w:rsidR="00777ED6" w:rsidRPr="00B901B2" w:rsidRDefault="00777ED6" w:rsidP="00FD525D">
      <w:pPr>
        <w:pStyle w:val="whitespace-normal"/>
        <w:numPr>
          <w:ilvl w:val="0"/>
          <w:numId w:val="3"/>
        </w:numPr>
        <w:jc w:val="both"/>
      </w:pPr>
      <w:r w:rsidRPr="00B901B2">
        <w:t>Cobertura: más de 3.7 millones de habitantes del Gran Santo Domingo</w:t>
      </w:r>
    </w:p>
    <w:p w14:paraId="6A99964E" w14:textId="77777777" w:rsidR="00777ED6" w:rsidRPr="00B901B2" w:rsidRDefault="00777ED6" w:rsidP="00FD525D">
      <w:pPr>
        <w:pStyle w:val="whitespace-normal"/>
        <w:numPr>
          <w:ilvl w:val="0"/>
          <w:numId w:val="3"/>
        </w:numPr>
        <w:jc w:val="both"/>
      </w:pPr>
      <w:r w:rsidRPr="00B901B2">
        <w:t>Movilidad: de 285,000 a 750,000 viajes diarios en transporte masivo</w:t>
      </w:r>
    </w:p>
    <w:p w14:paraId="21282506" w14:textId="77777777" w:rsidR="00777ED6" w:rsidRPr="00B901B2" w:rsidRDefault="00777ED6" w:rsidP="00FD525D">
      <w:pPr>
        <w:pStyle w:val="whitespace-normal"/>
        <w:numPr>
          <w:ilvl w:val="0"/>
          <w:numId w:val="3"/>
        </w:numPr>
        <w:jc w:val="both"/>
      </w:pPr>
      <w:r w:rsidRPr="00B901B2">
        <w:t>Empleos generados: 140,000 directos e indirectos al 2036</w:t>
      </w:r>
    </w:p>
    <w:p w14:paraId="1C21263B" w14:textId="77777777" w:rsidR="00777ED6" w:rsidRPr="00B901B2" w:rsidRDefault="00777ED6" w:rsidP="00FD525D">
      <w:pPr>
        <w:pStyle w:val="whitespace-normal"/>
        <w:numPr>
          <w:ilvl w:val="0"/>
          <w:numId w:val="3"/>
        </w:numPr>
        <w:jc w:val="both"/>
      </w:pPr>
      <w:r w:rsidRPr="00B901B2">
        <w:t>Período de recuperación: 6–8 años (Hub de Innovación), 12–14 años (Metro)</w:t>
      </w:r>
    </w:p>
    <w:p w14:paraId="3EC4711D" w14:textId="77777777" w:rsidR="00777ED6" w:rsidRPr="00B901B2" w:rsidRDefault="00777ED6" w:rsidP="00FD525D">
      <w:pPr>
        <w:pStyle w:val="whitespace-normal"/>
        <w:numPr>
          <w:ilvl w:val="0"/>
          <w:numId w:val="3"/>
        </w:numPr>
        <w:jc w:val="both"/>
      </w:pPr>
      <w:r w:rsidRPr="00B901B2">
        <w:t>Marco legal habilitante: 12 leyes vigentes, ninguna reforma requerida</w:t>
      </w:r>
    </w:p>
    <w:p w14:paraId="784728FE" w14:textId="77777777" w:rsidR="00FD525D" w:rsidRPr="00B901B2" w:rsidRDefault="00777ED6" w:rsidP="00FD525D">
      <w:pPr>
        <w:pStyle w:val="font-claude-response-body"/>
        <w:jc w:val="both"/>
      </w:pPr>
      <w:r w:rsidRPr="00B901B2">
        <w:rPr>
          <w:rStyle w:val="Fuerte"/>
        </w:rPr>
        <w:t>¿Por qué es viable?</w:t>
      </w:r>
      <w:r w:rsidRPr="00B901B2">
        <w:t xml:space="preserve"> </w:t>
      </w:r>
    </w:p>
    <w:p w14:paraId="11342A8C" w14:textId="10B08CF7" w:rsidR="00777ED6" w:rsidRPr="00B901B2" w:rsidRDefault="00777ED6" w:rsidP="00FD525D">
      <w:pPr>
        <w:pStyle w:val="font-claude-response-body"/>
        <w:jc w:val="both"/>
      </w:pPr>
      <w:r w:rsidRPr="00B901B2">
        <w:t>Esta propuesta no depende de voluntad política aislada ni de financiamiento externo ilimitado. Se sostiene con siete fuentes de monetización propias tarifas, plusvalía urbana, datos, energía, turismo, renta del Hub y bonos verdes</w:t>
      </w:r>
      <w:r w:rsidR="00FD525D" w:rsidRPr="00B901B2">
        <w:t xml:space="preserve"> </w:t>
      </w:r>
      <w:r w:rsidRPr="00B901B2">
        <w:t>y una estructura de financiamiento mixta que combina inversión pública, banca multilateral, alianzas público-privadas y cooperación internacional. El modelo no es una carga fiscal a fondo perdido: es una inversión recuperable dentro del propio horizonte 2036.</w:t>
      </w:r>
    </w:p>
    <w:p w14:paraId="1950FB81" w14:textId="77777777" w:rsidR="00777ED6" w:rsidRPr="00B901B2" w:rsidRDefault="00777ED6" w:rsidP="00FD525D">
      <w:pPr>
        <w:pStyle w:val="font-claude-response-body"/>
        <w:jc w:val="both"/>
      </w:pPr>
      <w:r w:rsidRPr="00B901B2">
        <w:rPr>
          <w:rStyle w:val="Fuerte"/>
        </w:rPr>
        <w:t>¿Qué la hace única?</w:t>
      </w:r>
    </w:p>
    <w:p w14:paraId="52CD31A5" w14:textId="77777777" w:rsidR="00777ED6" w:rsidRPr="00B901B2" w:rsidRDefault="00777ED6" w:rsidP="00FD525D">
      <w:pPr>
        <w:pStyle w:val="whitespace-normal"/>
        <w:numPr>
          <w:ilvl w:val="0"/>
          <w:numId w:val="4"/>
        </w:numPr>
        <w:jc w:val="both"/>
      </w:pPr>
      <w:r w:rsidRPr="00B901B2">
        <w:t>Visión integrada: los tres ejes se sostienen entre sí; ninguno funciona en aislamiento</w:t>
      </w:r>
    </w:p>
    <w:p w14:paraId="24F6601C" w14:textId="77777777" w:rsidR="00777ED6" w:rsidRPr="00B901B2" w:rsidRDefault="00777ED6" w:rsidP="00FD525D">
      <w:pPr>
        <w:pStyle w:val="whitespace-normal"/>
        <w:numPr>
          <w:ilvl w:val="0"/>
          <w:numId w:val="4"/>
        </w:numPr>
        <w:jc w:val="both"/>
      </w:pPr>
      <w:r w:rsidRPr="00B901B2">
        <w:t>Foco en el factor humano: la educación STEAM articula la propuesta con el ciudadano</w:t>
      </w:r>
    </w:p>
    <w:p w14:paraId="1AD1CB7F" w14:textId="77777777" w:rsidR="00777ED6" w:rsidRPr="00B901B2" w:rsidRDefault="00777ED6" w:rsidP="00FD525D">
      <w:pPr>
        <w:pStyle w:val="whitespace-normal"/>
        <w:numPr>
          <w:ilvl w:val="0"/>
          <w:numId w:val="4"/>
        </w:numPr>
        <w:jc w:val="both"/>
      </w:pPr>
      <w:r w:rsidRPr="00B901B2">
        <w:t>Blindaje ético y legal desde el diseño: Ley 172-13 y supervisión ciudadana de algoritmos</w:t>
      </w:r>
    </w:p>
    <w:p w14:paraId="7D7878E3" w14:textId="77777777" w:rsidR="00777ED6" w:rsidRPr="00B901B2" w:rsidRDefault="00777ED6" w:rsidP="00FD525D">
      <w:pPr>
        <w:pStyle w:val="whitespace-normal"/>
        <w:numPr>
          <w:ilvl w:val="0"/>
          <w:numId w:val="4"/>
        </w:numPr>
        <w:jc w:val="both"/>
      </w:pPr>
      <w:r w:rsidRPr="00B901B2">
        <w:t>Resiliencia climática como activo: el corredor del Ozama pasa de riesgo a parque urbano</w:t>
      </w:r>
    </w:p>
    <w:p w14:paraId="11C28DAF" w14:textId="77777777" w:rsidR="00777ED6" w:rsidRPr="00B901B2" w:rsidRDefault="00777ED6" w:rsidP="00FD525D">
      <w:pPr>
        <w:pStyle w:val="whitespace-normal"/>
        <w:numPr>
          <w:ilvl w:val="0"/>
          <w:numId w:val="4"/>
        </w:numPr>
        <w:jc w:val="both"/>
      </w:pPr>
      <w:r w:rsidRPr="00B901B2">
        <w:t>Evidencia local real: Actuana Academy con más de 1,200 estudiantes y pilotos con sensores ESP32</w:t>
      </w:r>
    </w:p>
    <w:p w14:paraId="42E94E32" w14:textId="77777777" w:rsidR="00FD525D" w:rsidRPr="00B901B2" w:rsidRDefault="00FD525D" w:rsidP="00FD525D">
      <w:pPr>
        <w:pStyle w:val="whitespace-normal"/>
        <w:jc w:val="both"/>
        <w:rPr>
          <w:rFonts w:ascii="Arial" w:hAnsi="Arial" w:cs="Arial"/>
        </w:rPr>
      </w:pPr>
    </w:p>
    <w:p w14:paraId="6D962CF1" w14:textId="77777777" w:rsidR="00FD525D" w:rsidRDefault="00FD525D" w:rsidP="00FD525D">
      <w:pPr>
        <w:pStyle w:val="whitespace-normal"/>
        <w:jc w:val="both"/>
        <w:rPr>
          <w:rFonts w:ascii="Arial" w:hAnsi="Arial" w:cs="Arial"/>
        </w:rPr>
      </w:pPr>
    </w:p>
    <w:p w14:paraId="14C34A44" w14:textId="77777777" w:rsidR="00B901B2" w:rsidRDefault="00B901B2" w:rsidP="00FD525D">
      <w:pPr>
        <w:pStyle w:val="whitespace-normal"/>
        <w:jc w:val="both"/>
        <w:rPr>
          <w:rFonts w:ascii="Arial" w:hAnsi="Arial" w:cs="Arial"/>
        </w:rPr>
      </w:pPr>
    </w:p>
    <w:p w14:paraId="083F4F61" w14:textId="77777777" w:rsidR="00B901B2" w:rsidRDefault="00B901B2" w:rsidP="00FD525D">
      <w:pPr>
        <w:pStyle w:val="whitespace-normal"/>
        <w:jc w:val="both"/>
        <w:rPr>
          <w:rFonts w:ascii="Arial" w:hAnsi="Arial" w:cs="Arial"/>
        </w:rPr>
      </w:pPr>
    </w:p>
    <w:p w14:paraId="6203C7A2" w14:textId="77777777" w:rsidR="00B901B2" w:rsidRPr="00B901B2" w:rsidRDefault="00B901B2" w:rsidP="00FD525D">
      <w:pPr>
        <w:pStyle w:val="whitespace-normal"/>
        <w:jc w:val="both"/>
        <w:rPr>
          <w:rFonts w:ascii="Arial" w:hAnsi="Arial" w:cs="Arial"/>
        </w:rPr>
      </w:pPr>
    </w:p>
    <w:p w14:paraId="5A20E763" w14:textId="77777777" w:rsidR="00FD525D" w:rsidRDefault="00FD525D" w:rsidP="004E62C5">
      <w:pPr>
        <w:pStyle w:val="Ttulo2"/>
        <w:jc w:val="both"/>
      </w:pPr>
      <w:bookmarkStart w:id="2" w:name="_Toc228954045"/>
      <w:r>
        <w:lastRenderedPageBreak/>
        <w:t>Pilar 1: Urbanismo y Smart City Design</w:t>
      </w:r>
      <w:bookmarkEnd w:id="2"/>
    </w:p>
    <w:p w14:paraId="3EC3AF4B" w14:textId="77777777" w:rsidR="004E62C5" w:rsidRDefault="004E62C5" w:rsidP="004E62C5">
      <w:pPr>
        <w:pStyle w:val="Ttulo3"/>
        <w:jc w:val="both"/>
        <w:rPr>
          <w:color w:val="000000"/>
        </w:rPr>
      </w:pPr>
      <w:bookmarkStart w:id="3" w:name="_Toc228954046"/>
      <w:r>
        <w:rPr>
          <w:color w:val="000000"/>
        </w:rPr>
        <w:t>1.1. Visión Prospectiva: El Modelo de Proximidad Urbana</w:t>
      </w:r>
      <w:bookmarkEnd w:id="3"/>
    </w:p>
    <w:p w14:paraId="539C877F" w14:textId="72FD9879" w:rsidR="004E62C5" w:rsidRDefault="004E62C5" w:rsidP="004E62C5">
      <w:pPr>
        <w:pStyle w:val="NormalWeb"/>
        <w:jc w:val="both"/>
        <w:rPr>
          <w:color w:val="000000"/>
        </w:rPr>
      </w:pPr>
      <w:r>
        <w:rPr>
          <w:color w:val="000000"/>
        </w:rPr>
        <w:t>Santo Domingo 2036 se fundamenta en la ruptura definitiva del modelo de expansión horizontal que ha caracterizado el crecimiento desordenado de las últimas décadas. Este fenómeno no solo ha fragmentado el tejido social, sino que ha generado una ineficiencia operativa donde el ciudadano promedio sacrifica entre</w:t>
      </w:r>
      <w:r>
        <w:rPr>
          <w:rStyle w:val="apple-converted-space"/>
          <w:color w:val="000000"/>
        </w:rPr>
        <w:t> </w:t>
      </w:r>
      <w:r>
        <w:rPr>
          <w:b/>
          <w:bCs/>
          <w:color w:val="000000"/>
        </w:rPr>
        <w:t>90 y 120 minutos diarios</w:t>
      </w:r>
      <w:r>
        <w:rPr>
          <w:rStyle w:val="apple-converted-space"/>
          <w:color w:val="000000"/>
        </w:rPr>
        <w:t> </w:t>
      </w:r>
      <w:r>
        <w:rPr>
          <w:color w:val="000000"/>
        </w:rPr>
        <w:t>en traslados.</w:t>
      </w:r>
    </w:p>
    <w:p w14:paraId="202B3F94" w14:textId="20DC8E5D" w:rsidR="004E62C5" w:rsidRDefault="004E62C5" w:rsidP="004E62C5">
      <w:pPr>
        <w:pStyle w:val="NormalWeb"/>
        <w:jc w:val="both"/>
        <w:rPr>
          <w:color w:val="000000"/>
        </w:rPr>
      </w:pPr>
      <w:r>
        <w:rPr>
          <w:color w:val="000000"/>
        </w:rPr>
        <w:t>Nuestra propuesta introduce la</w:t>
      </w:r>
      <w:r>
        <w:rPr>
          <w:rStyle w:val="apple-converted-space"/>
          <w:color w:val="000000"/>
        </w:rPr>
        <w:t> </w:t>
      </w:r>
      <w:r>
        <w:rPr>
          <w:b/>
          <w:bCs/>
          <w:color w:val="000000"/>
        </w:rPr>
        <w:t>"Ciudad de 15 minutos"</w:t>
      </w:r>
      <w:r>
        <w:rPr>
          <w:color w:val="000000"/>
        </w:rPr>
        <w:t>, un paradigma de</w:t>
      </w:r>
      <w:r>
        <w:rPr>
          <w:rStyle w:val="apple-converted-space"/>
          <w:color w:val="000000"/>
        </w:rPr>
        <w:t> </w:t>
      </w:r>
      <w:r>
        <w:rPr>
          <w:b/>
          <w:bCs/>
          <w:color w:val="000000"/>
        </w:rPr>
        <w:t>densificación inteligente</w:t>
      </w:r>
      <w:r>
        <w:rPr>
          <w:rStyle w:val="apple-converted-space"/>
          <w:color w:val="000000"/>
        </w:rPr>
        <w:t> </w:t>
      </w:r>
      <w:r>
        <w:rPr>
          <w:color w:val="000000"/>
        </w:rPr>
        <w:t>donde la tecnología loT y la IA optimizan los servicios públicos para que la salud, la educación y el comercio se encuentren a una distancia peatonal o de transporte masivo eficiente. El objetivo es devolver al peatón el protagonismo del espacio público, utilizando soluciones de movilidad eléctrica amparadas bajo la</w:t>
      </w:r>
      <w:r>
        <w:rPr>
          <w:rStyle w:val="apple-converted-space"/>
          <w:color w:val="000000"/>
        </w:rPr>
        <w:t> </w:t>
      </w:r>
      <w:r>
        <w:rPr>
          <w:b/>
          <w:bCs/>
          <w:color w:val="000000"/>
        </w:rPr>
        <w:t>Ley 103-13</w:t>
      </w:r>
      <w:r>
        <w:rPr>
          <w:color w:val="000000"/>
        </w:rPr>
        <w:t>.</w:t>
      </w:r>
    </w:p>
    <w:p w14:paraId="3632E702" w14:textId="77777777" w:rsidR="004E62C5" w:rsidRDefault="004E62C5" w:rsidP="004E62C5">
      <w:pPr>
        <w:pStyle w:val="Ttulo3"/>
        <w:jc w:val="both"/>
        <w:rPr>
          <w:color w:val="000000"/>
        </w:rPr>
      </w:pPr>
      <w:bookmarkStart w:id="4" w:name="_Toc228954047"/>
      <w:r>
        <w:rPr>
          <w:color w:val="000000"/>
        </w:rPr>
        <w:t>1.2. Plan Maestro de Infraestructura y Movilidad Multimodal</w:t>
      </w:r>
      <w:bookmarkEnd w:id="4"/>
    </w:p>
    <w:p w14:paraId="59D51430" w14:textId="77777777" w:rsidR="004E62C5" w:rsidRDefault="004E62C5" w:rsidP="004E62C5">
      <w:pPr>
        <w:pStyle w:val="NormalWeb"/>
        <w:jc w:val="both"/>
        <w:rPr>
          <w:color w:val="000000"/>
        </w:rPr>
      </w:pPr>
      <w:r>
        <w:rPr>
          <w:color w:val="000000"/>
        </w:rPr>
        <w:t>La movilidad constituye la columna vertebral de nuestra ciudad inteligente. El Metro de Santo Domingo es el eje central de esta transformación:</w:t>
      </w:r>
    </w:p>
    <w:p w14:paraId="5E7454D2" w14:textId="77777777" w:rsidR="004E62C5" w:rsidRDefault="004E62C5" w:rsidP="004E62C5">
      <w:pPr>
        <w:pStyle w:val="NormalWeb"/>
        <w:numPr>
          <w:ilvl w:val="0"/>
          <w:numId w:val="20"/>
        </w:numPr>
        <w:jc w:val="both"/>
        <w:rPr>
          <w:color w:val="000000"/>
        </w:rPr>
      </w:pPr>
      <w:r>
        <w:rPr>
          <w:b/>
          <w:bCs/>
          <w:color w:val="000000"/>
        </w:rPr>
        <w:t>Expansión de la Red:</w:t>
      </w:r>
      <w:r>
        <w:rPr>
          <w:rStyle w:val="apple-converted-space"/>
          <w:color w:val="000000"/>
        </w:rPr>
        <w:t> </w:t>
      </w:r>
      <w:r>
        <w:rPr>
          <w:color w:val="000000"/>
        </w:rPr>
        <w:t>Proponemos la consolidación de las</w:t>
      </w:r>
      <w:r>
        <w:rPr>
          <w:rStyle w:val="apple-converted-space"/>
          <w:color w:val="000000"/>
        </w:rPr>
        <w:t> </w:t>
      </w:r>
      <w:r>
        <w:rPr>
          <w:b/>
          <w:bCs/>
          <w:color w:val="000000"/>
        </w:rPr>
        <w:t>Líneas 3 y 4</w:t>
      </w:r>
      <w:r>
        <w:rPr>
          <w:color w:val="000000"/>
        </w:rPr>
        <w:t>, conectando nodos productivos desde Haina hasta Boca Chica, e integrando la Ciudad Juan Bosch al sistema masivo.</w:t>
      </w:r>
    </w:p>
    <w:p w14:paraId="4701D287" w14:textId="1615A73D" w:rsidR="004E62C5" w:rsidRPr="004E62C5" w:rsidRDefault="004E62C5" w:rsidP="004E62C5">
      <w:pPr>
        <w:pStyle w:val="NormalWeb"/>
        <w:numPr>
          <w:ilvl w:val="0"/>
          <w:numId w:val="20"/>
        </w:numPr>
        <w:jc w:val="both"/>
        <w:rPr>
          <w:color w:val="000000"/>
        </w:rPr>
      </w:pPr>
      <w:r>
        <w:rPr>
          <w:b/>
          <w:bCs/>
          <w:color w:val="000000"/>
        </w:rPr>
        <w:t>Gestión Vial y DIGESETT 2.0:</w:t>
      </w:r>
      <w:r>
        <w:rPr>
          <w:rStyle w:val="apple-converted-space"/>
          <w:color w:val="000000"/>
        </w:rPr>
        <w:t> </w:t>
      </w:r>
      <w:r>
        <w:rPr>
          <w:color w:val="000000"/>
        </w:rPr>
        <w:t>El agente de tránsito evoluciona hacia un</w:t>
      </w:r>
      <w:r>
        <w:rPr>
          <w:rStyle w:val="apple-converted-space"/>
          <w:color w:val="000000"/>
        </w:rPr>
        <w:t> </w:t>
      </w:r>
      <w:r>
        <w:rPr>
          <w:b/>
          <w:bCs/>
          <w:color w:val="000000"/>
        </w:rPr>
        <w:t>gestor tecnológico</w:t>
      </w:r>
      <w:r>
        <w:rPr>
          <w:color w:val="000000"/>
        </w:rPr>
        <w:t>. Se propone un programa de</w:t>
      </w:r>
      <w:r>
        <w:rPr>
          <w:rStyle w:val="apple-converted-space"/>
          <w:color w:val="000000"/>
        </w:rPr>
        <w:t> </w:t>
      </w:r>
      <w:r>
        <w:rPr>
          <w:b/>
          <w:bCs/>
          <w:color w:val="000000"/>
        </w:rPr>
        <w:t>capacitación continua y certificación periódica</w:t>
      </w:r>
      <w:r>
        <w:rPr>
          <w:rStyle w:val="apple-converted-space"/>
          <w:color w:val="000000"/>
        </w:rPr>
        <w:t> </w:t>
      </w:r>
      <w:r>
        <w:rPr>
          <w:color w:val="000000"/>
        </w:rPr>
        <w:t>de los agentes, dotándolos de herramientas digitales para coordinar con el Centro de Operaciones de la Ciudad (COC) y gestionar semáforos adaptativos que responden al flujo real de vehículos, reduciendo la corrupción y dignificando su rol profesional.</w:t>
      </w:r>
    </w:p>
    <w:p w14:paraId="2BF66EFE" w14:textId="77777777" w:rsidR="004E62C5" w:rsidRDefault="004E62C5" w:rsidP="004E62C5">
      <w:pPr>
        <w:pStyle w:val="Ttulo3"/>
        <w:jc w:val="both"/>
        <w:rPr>
          <w:color w:val="000000"/>
        </w:rPr>
      </w:pPr>
      <w:bookmarkStart w:id="5" w:name="_Toc228954048"/>
      <w:r>
        <w:rPr>
          <w:color w:val="000000"/>
        </w:rPr>
        <w:t>1.3. Ingeniería de Resiliencia: Regeneración del Tejido Urbano</w:t>
      </w:r>
      <w:bookmarkEnd w:id="5"/>
    </w:p>
    <w:p w14:paraId="280CD9F8" w14:textId="77777777" w:rsidR="004E62C5" w:rsidRDefault="004E62C5" w:rsidP="004E62C5">
      <w:pPr>
        <w:pStyle w:val="NormalWeb"/>
        <w:jc w:val="both"/>
        <w:rPr>
          <w:color w:val="000000"/>
        </w:rPr>
      </w:pPr>
      <w:r>
        <w:rPr>
          <w:color w:val="000000"/>
        </w:rPr>
        <w:t>El programa</w:t>
      </w:r>
      <w:r>
        <w:rPr>
          <w:rStyle w:val="apple-converted-space"/>
          <w:color w:val="000000"/>
        </w:rPr>
        <w:t> </w:t>
      </w:r>
      <w:r>
        <w:rPr>
          <w:b/>
          <w:bCs/>
          <w:color w:val="000000"/>
        </w:rPr>
        <w:t>Barrio Conectado 2036</w:t>
      </w:r>
      <w:r>
        <w:rPr>
          <w:rStyle w:val="apple-converted-space"/>
          <w:color w:val="000000"/>
        </w:rPr>
        <w:t> </w:t>
      </w:r>
      <w:r>
        <w:rPr>
          <w:color w:val="000000"/>
        </w:rPr>
        <w:t>interviene sectores vulnerables con infraestructura resiliente:</w:t>
      </w:r>
    </w:p>
    <w:p w14:paraId="1012D4D1" w14:textId="77777777" w:rsidR="004E62C5" w:rsidRDefault="004E62C5" w:rsidP="004E62C5">
      <w:pPr>
        <w:pStyle w:val="NormalWeb"/>
        <w:numPr>
          <w:ilvl w:val="0"/>
          <w:numId w:val="21"/>
        </w:numPr>
        <w:jc w:val="both"/>
        <w:rPr>
          <w:color w:val="000000"/>
        </w:rPr>
      </w:pPr>
      <w:r>
        <w:rPr>
          <w:b/>
          <w:bCs/>
          <w:color w:val="000000"/>
        </w:rPr>
        <w:t>Corredor del Ozama:</w:t>
      </w:r>
      <w:r>
        <w:rPr>
          <w:rStyle w:val="apple-converted-space"/>
          <w:color w:val="000000"/>
        </w:rPr>
        <w:t> </w:t>
      </w:r>
      <w:r>
        <w:rPr>
          <w:color w:val="000000"/>
        </w:rPr>
        <w:t>Transformación de zonas de riesgo en un parque lineal con humedales y ciclovías que actúan como amortiguador natural frente a inundaciones.</w:t>
      </w:r>
    </w:p>
    <w:p w14:paraId="3D7B019C" w14:textId="77777777" w:rsidR="004E62C5" w:rsidRDefault="004E62C5" w:rsidP="004E62C5">
      <w:pPr>
        <w:pStyle w:val="NormalWeb"/>
        <w:numPr>
          <w:ilvl w:val="0"/>
          <w:numId w:val="21"/>
        </w:numPr>
        <w:jc w:val="both"/>
        <w:rPr>
          <w:color w:val="000000"/>
        </w:rPr>
      </w:pPr>
      <w:r>
        <w:rPr>
          <w:b/>
          <w:bCs/>
          <w:color w:val="000000"/>
        </w:rPr>
        <w:t>Tecnología de Alerta Temprana:</w:t>
      </w:r>
      <w:r>
        <w:rPr>
          <w:rStyle w:val="apple-converted-space"/>
          <w:color w:val="000000"/>
        </w:rPr>
        <w:t> </w:t>
      </w:r>
      <w:r>
        <w:rPr>
          <w:color w:val="000000"/>
        </w:rPr>
        <w:t>Implementación masiva de sensores</w:t>
      </w:r>
      <w:r>
        <w:rPr>
          <w:rStyle w:val="apple-converted-space"/>
          <w:color w:val="000000"/>
        </w:rPr>
        <w:t> </w:t>
      </w:r>
      <w:r>
        <w:rPr>
          <w:b/>
          <w:bCs/>
          <w:color w:val="000000"/>
        </w:rPr>
        <w:t>ESP32</w:t>
      </w:r>
      <w:r>
        <w:rPr>
          <w:rStyle w:val="apple-converted-space"/>
          <w:color w:val="000000"/>
        </w:rPr>
        <w:t> </w:t>
      </w:r>
      <w:r>
        <w:rPr>
          <w:color w:val="000000"/>
        </w:rPr>
        <w:t>(piloto probado por Actuana Academy) para el monitoreo de niveles de lluvia y agua, conectados en tiempo real al COE para proteger la vida de las familias en áreas críticas.</w:t>
      </w:r>
    </w:p>
    <w:p w14:paraId="708600A8" w14:textId="77777777" w:rsidR="001B7A22" w:rsidRDefault="001B7A22" w:rsidP="004E62C5">
      <w:pPr>
        <w:pStyle w:val="Ttulo2"/>
        <w:jc w:val="both"/>
      </w:pPr>
    </w:p>
    <w:p w14:paraId="699BCB2F" w14:textId="77777777" w:rsidR="001B7A22" w:rsidRDefault="001B7A22" w:rsidP="00B901B2">
      <w:pPr>
        <w:pStyle w:val="Ttulo2"/>
        <w:jc w:val="both"/>
      </w:pPr>
    </w:p>
    <w:p w14:paraId="2E269900" w14:textId="77777777" w:rsidR="001B7A22" w:rsidRDefault="001B7A22" w:rsidP="00B901B2">
      <w:pPr>
        <w:pStyle w:val="Ttulo2"/>
        <w:jc w:val="both"/>
      </w:pPr>
    </w:p>
    <w:p w14:paraId="5C1C0FDC" w14:textId="29BC0C0A" w:rsidR="00FD525D" w:rsidRDefault="00FD525D" w:rsidP="007A2240">
      <w:pPr>
        <w:pStyle w:val="Ttulo2"/>
        <w:jc w:val="both"/>
      </w:pPr>
      <w:bookmarkStart w:id="6" w:name="_Toc228954049"/>
      <w:r>
        <w:lastRenderedPageBreak/>
        <w:t>Pilar 2: Viabilidad Financiera e Inversión</w:t>
      </w:r>
      <w:bookmarkEnd w:id="6"/>
    </w:p>
    <w:p w14:paraId="26D5727A" w14:textId="77777777" w:rsidR="007A2240" w:rsidRDefault="007A2240" w:rsidP="007A2240">
      <w:pPr>
        <w:pStyle w:val="Ttulo3"/>
        <w:jc w:val="both"/>
        <w:rPr>
          <w:color w:val="000000"/>
        </w:rPr>
      </w:pPr>
      <w:r>
        <w:rPr>
          <w:color w:val="000000"/>
        </w:rPr>
        <w:t>2.1. Ingeniería Financiera: Estructura de Capital y Modelos de APP</w:t>
      </w:r>
    </w:p>
    <w:p w14:paraId="65958A5C" w14:textId="77777777" w:rsidR="007A2240" w:rsidRDefault="007A2240" w:rsidP="007A2240">
      <w:pPr>
        <w:pStyle w:val="NormalWeb"/>
        <w:jc w:val="both"/>
        <w:rPr>
          <w:color w:val="000000"/>
        </w:rPr>
      </w:pPr>
      <w:r>
        <w:rPr>
          <w:color w:val="000000"/>
        </w:rPr>
        <w:t>La ejecución de Santo Domingo 2036 requiere una movilización de recursos estimada en</w:t>
      </w:r>
      <w:r>
        <w:rPr>
          <w:rStyle w:val="apple-converted-space"/>
          <w:color w:val="000000"/>
        </w:rPr>
        <w:t> </w:t>
      </w:r>
      <w:r>
        <w:rPr>
          <w:b/>
          <w:bCs/>
          <w:color w:val="000000"/>
        </w:rPr>
        <w:t>USD 7,300 millones</w:t>
      </w:r>
      <w:r>
        <w:rPr>
          <w:color w:val="000000"/>
        </w:rPr>
        <w:t>, gestionados bajo un esquema de financiamiento proyectado a 11 años. Proponemos una estructura de capital mixto para mitigar el riesgo país y optimizar el flujo de caja:</w:t>
      </w:r>
    </w:p>
    <w:p w14:paraId="34E9D5AC" w14:textId="77777777" w:rsidR="007A2240" w:rsidRDefault="007A2240" w:rsidP="007A2240">
      <w:pPr>
        <w:pStyle w:val="NormalWeb"/>
        <w:numPr>
          <w:ilvl w:val="0"/>
          <w:numId w:val="24"/>
        </w:numPr>
        <w:jc w:val="both"/>
        <w:rPr>
          <w:color w:val="000000"/>
        </w:rPr>
      </w:pPr>
      <w:r>
        <w:rPr>
          <w:b/>
          <w:bCs/>
          <w:color w:val="000000"/>
        </w:rPr>
        <w:t>Componente Público-Multilateral (45%):</w:t>
      </w:r>
      <w:r>
        <w:rPr>
          <w:rStyle w:val="apple-converted-space"/>
          <w:color w:val="000000"/>
        </w:rPr>
        <w:t> </w:t>
      </w:r>
      <w:r>
        <w:rPr>
          <w:color w:val="000000"/>
        </w:rPr>
        <w:t>Fondos provenientes del Estado y préstamos blandos de organismos como el BID y la AFD, destinados a infraestructura básica y expansión del Metro.</w:t>
      </w:r>
    </w:p>
    <w:p w14:paraId="09B6F0B1" w14:textId="77777777" w:rsidR="007A2240" w:rsidRDefault="007A2240" w:rsidP="007A2240">
      <w:pPr>
        <w:pStyle w:val="NormalWeb"/>
        <w:numPr>
          <w:ilvl w:val="0"/>
          <w:numId w:val="24"/>
        </w:numPr>
        <w:jc w:val="both"/>
        <w:rPr>
          <w:color w:val="000000"/>
        </w:rPr>
      </w:pPr>
      <w:r>
        <w:rPr>
          <w:b/>
          <w:bCs/>
          <w:color w:val="000000"/>
        </w:rPr>
        <w:t>Alianzas Público-Privadas (28%):</w:t>
      </w:r>
      <w:r>
        <w:rPr>
          <w:rStyle w:val="apple-converted-space"/>
          <w:color w:val="000000"/>
        </w:rPr>
        <w:t> </w:t>
      </w:r>
      <w:r>
        <w:rPr>
          <w:color w:val="000000"/>
        </w:rPr>
        <w:t>Utilizando la</w:t>
      </w:r>
      <w:r>
        <w:rPr>
          <w:rStyle w:val="apple-converted-space"/>
          <w:color w:val="000000"/>
        </w:rPr>
        <w:t> </w:t>
      </w:r>
      <w:r>
        <w:rPr>
          <w:b/>
          <w:bCs/>
          <w:color w:val="000000"/>
        </w:rPr>
        <w:t>Ley 47-20</w:t>
      </w:r>
      <w:r>
        <w:rPr>
          <w:color w:val="000000"/>
        </w:rPr>
        <w:t>, se canalizará inversión privada para proyectos de alta rentabilidad comercial, como el Hub de Innovación y las áreas comerciales de las nuevas estaciones.</w:t>
      </w:r>
    </w:p>
    <w:p w14:paraId="4A3C7B89" w14:textId="77777777" w:rsidR="007A2240" w:rsidRDefault="007A2240" w:rsidP="007A2240">
      <w:pPr>
        <w:pStyle w:val="NormalWeb"/>
        <w:numPr>
          <w:ilvl w:val="0"/>
          <w:numId w:val="24"/>
        </w:numPr>
        <w:jc w:val="both"/>
        <w:rPr>
          <w:color w:val="000000"/>
        </w:rPr>
      </w:pPr>
      <w:r>
        <w:rPr>
          <w:b/>
          <w:bCs/>
          <w:color w:val="000000"/>
        </w:rPr>
        <w:t>Instrumentos de Mercado y Bonos Verdes (27%):</w:t>
      </w:r>
      <w:r>
        <w:rPr>
          <w:rStyle w:val="apple-converted-space"/>
          <w:color w:val="000000"/>
        </w:rPr>
        <w:t> </w:t>
      </w:r>
      <w:r>
        <w:rPr>
          <w:color w:val="000000"/>
        </w:rPr>
        <w:t>Emisiones bajo la</w:t>
      </w:r>
      <w:r>
        <w:rPr>
          <w:rStyle w:val="apple-converted-space"/>
          <w:color w:val="000000"/>
        </w:rPr>
        <w:t> </w:t>
      </w:r>
      <w:r>
        <w:rPr>
          <w:b/>
          <w:bCs/>
          <w:color w:val="000000"/>
        </w:rPr>
        <w:t>Ley 249-17</w:t>
      </w:r>
      <w:r>
        <w:rPr>
          <w:color w:val="000000"/>
        </w:rPr>
        <w:t>, dirigidas a inversionistas institucionales (AFP/Seguros) que buscan activos con impacto social y ambiental positivo.</w:t>
      </w:r>
    </w:p>
    <w:p w14:paraId="0D5C0A51" w14:textId="77777777" w:rsidR="007A2240" w:rsidRDefault="007A2240" w:rsidP="007A2240">
      <w:pPr>
        <w:pStyle w:val="Ttulo3"/>
        <w:jc w:val="both"/>
        <w:rPr>
          <w:color w:val="000000"/>
        </w:rPr>
      </w:pPr>
      <w:r>
        <w:rPr>
          <w:color w:val="000000"/>
        </w:rPr>
        <w:t>2.2. Análisis de Rentabilidad Social y Ambiental (S-TIR)</w:t>
      </w:r>
    </w:p>
    <w:p w14:paraId="1F048D36" w14:textId="77777777" w:rsidR="007A2240" w:rsidRDefault="007A2240" w:rsidP="007A2240">
      <w:pPr>
        <w:pStyle w:val="NormalWeb"/>
        <w:jc w:val="both"/>
        <w:rPr>
          <w:color w:val="000000"/>
        </w:rPr>
      </w:pPr>
      <w:r>
        <w:rPr>
          <w:color w:val="000000"/>
        </w:rPr>
        <w:t>El criterio de evaluación 2.1 exige cuantificar las externalidades. Nuestra</w:t>
      </w:r>
      <w:r>
        <w:rPr>
          <w:rStyle w:val="apple-converted-space"/>
          <w:color w:val="000000"/>
        </w:rPr>
        <w:t> </w:t>
      </w:r>
      <w:r>
        <w:rPr>
          <w:b/>
          <w:bCs/>
          <w:color w:val="000000"/>
        </w:rPr>
        <w:t>Tasa Interna de Retorno Social (S-TIR)</w:t>
      </w:r>
      <w:r>
        <w:rPr>
          <w:rStyle w:val="apple-converted-space"/>
          <w:color w:val="000000"/>
        </w:rPr>
        <w:t> </w:t>
      </w:r>
      <w:r>
        <w:rPr>
          <w:color w:val="000000"/>
        </w:rPr>
        <w:t>no se limita al flujo de caja directo, sino que monetiza beneficios indirectos:</w:t>
      </w:r>
    </w:p>
    <w:p w14:paraId="0CAA048C" w14:textId="77777777" w:rsidR="007A2240" w:rsidRDefault="007A2240" w:rsidP="007A2240">
      <w:pPr>
        <w:pStyle w:val="NormalWeb"/>
        <w:numPr>
          <w:ilvl w:val="0"/>
          <w:numId w:val="25"/>
        </w:numPr>
        <w:jc w:val="both"/>
        <w:rPr>
          <w:color w:val="000000"/>
        </w:rPr>
      </w:pPr>
      <w:r>
        <w:rPr>
          <w:b/>
          <w:bCs/>
          <w:color w:val="000000"/>
        </w:rPr>
        <w:t>Ahorro en Productividad:</w:t>
      </w:r>
      <w:r>
        <w:rPr>
          <w:rStyle w:val="apple-converted-space"/>
          <w:color w:val="000000"/>
        </w:rPr>
        <w:t> </w:t>
      </w:r>
      <w:r>
        <w:rPr>
          <w:color w:val="000000"/>
        </w:rPr>
        <w:t>La reducción de 120 a 45 minutos en traslados diarios inyecta un valor económico equivalente al tiempo recuperado por 3.7 millones de habitantes.</w:t>
      </w:r>
    </w:p>
    <w:p w14:paraId="717D1D9D" w14:textId="77777777" w:rsidR="007A2240" w:rsidRDefault="007A2240" w:rsidP="007A2240">
      <w:pPr>
        <w:pStyle w:val="NormalWeb"/>
        <w:numPr>
          <w:ilvl w:val="0"/>
          <w:numId w:val="25"/>
        </w:numPr>
        <w:jc w:val="both"/>
        <w:rPr>
          <w:color w:val="000000"/>
        </w:rPr>
      </w:pPr>
      <w:r>
        <w:rPr>
          <w:b/>
          <w:bCs/>
          <w:color w:val="000000"/>
        </w:rPr>
        <w:t>Externalidades Ambientales:</w:t>
      </w:r>
      <w:r>
        <w:rPr>
          <w:rStyle w:val="apple-converted-space"/>
          <w:color w:val="000000"/>
        </w:rPr>
        <w:t> </w:t>
      </w:r>
      <w:r>
        <w:rPr>
          <w:color w:val="000000"/>
        </w:rPr>
        <w:t>Reducción de costos de salud pública por mejora en la calidad del aire y ahorros en mantenimiento vial por la transición a movilidad eléctrica compartida.</w:t>
      </w:r>
    </w:p>
    <w:p w14:paraId="7C43F15B" w14:textId="752D4908" w:rsidR="007A2240" w:rsidRPr="007A2240" w:rsidRDefault="007A2240" w:rsidP="007A2240">
      <w:pPr>
        <w:pStyle w:val="NormalWeb"/>
        <w:numPr>
          <w:ilvl w:val="0"/>
          <w:numId w:val="25"/>
        </w:numPr>
        <w:jc w:val="both"/>
        <w:rPr>
          <w:color w:val="000000"/>
        </w:rPr>
      </w:pPr>
      <w:r>
        <w:rPr>
          <w:b/>
          <w:bCs/>
          <w:color w:val="000000"/>
        </w:rPr>
        <w:t>Métrica:</w:t>
      </w:r>
      <w:r>
        <w:rPr>
          <w:rStyle w:val="apple-converted-space"/>
          <w:color w:val="000000"/>
        </w:rPr>
        <w:t> </w:t>
      </w:r>
      <w:r>
        <w:rPr>
          <w:color w:val="000000"/>
        </w:rPr>
        <w:t>Se proyecta una</w:t>
      </w:r>
      <w:r>
        <w:rPr>
          <w:rStyle w:val="apple-converted-space"/>
          <w:color w:val="000000"/>
        </w:rPr>
        <w:t> </w:t>
      </w:r>
      <w:r>
        <w:rPr>
          <w:b/>
          <w:bCs/>
          <w:color w:val="000000"/>
        </w:rPr>
        <w:t>S-TIR &gt; WACC</w:t>
      </w:r>
      <w:r>
        <w:rPr>
          <w:color w:val="000000"/>
        </w:rPr>
        <w:t>, garantizando que el beneficio para la sociedad dominicana supera el costo de capital invertido.</w:t>
      </w:r>
    </w:p>
    <w:p w14:paraId="558F3A60" w14:textId="77777777" w:rsidR="007A2240" w:rsidRDefault="007A2240" w:rsidP="007A2240">
      <w:pPr>
        <w:pStyle w:val="Ttulo3"/>
        <w:jc w:val="both"/>
        <w:rPr>
          <w:color w:val="000000"/>
        </w:rPr>
      </w:pPr>
      <w:r>
        <w:rPr>
          <w:color w:val="000000"/>
        </w:rPr>
        <w:t>2.3. Índice de Eficiencia Fiscal Verde (IEFV): Aplicación de las Leyes 57-07 y 103-13</w:t>
      </w:r>
    </w:p>
    <w:p w14:paraId="3201BFB8" w14:textId="333FC5E9" w:rsidR="007A2240" w:rsidRDefault="007A2240" w:rsidP="007A2240">
      <w:pPr>
        <w:pStyle w:val="NormalWeb"/>
        <w:jc w:val="both"/>
        <w:rPr>
          <w:color w:val="000000"/>
        </w:rPr>
      </w:pPr>
      <w:r>
        <w:rPr>
          <w:color w:val="000000"/>
        </w:rPr>
        <w:t>Este es el núcleo de la viabilidad económica. El</w:t>
      </w:r>
      <w:r>
        <w:rPr>
          <w:rStyle w:val="apple-converted-space"/>
          <w:color w:val="000000"/>
        </w:rPr>
        <w:t> </w:t>
      </w:r>
      <w:r>
        <w:rPr>
          <w:b/>
          <w:bCs/>
          <w:color w:val="000000"/>
        </w:rPr>
        <w:t>IEFV</w:t>
      </w:r>
      <w:r>
        <w:rPr>
          <w:rStyle w:val="apple-converted-space"/>
          <w:color w:val="000000"/>
        </w:rPr>
        <w:t> </w:t>
      </w:r>
      <w:r>
        <w:rPr>
          <w:color w:val="000000"/>
        </w:rPr>
        <w:t>mide cómo los incentivos legales cubren el</w:t>
      </w:r>
      <w:r>
        <w:rPr>
          <w:rStyle w:val="apple-converted-space"/>
          <w:color w:val="000000"/>
        </w:rPr>
        <w:t> </w:t>
      </w:r>
      <w:r>
        <w:rPr>
          <w:b/>
          <w:bCs/>
          <w:color w:val="000000"/>
        </w:rPr>
        <w:t>30% del CAPEX tecnológico</w:t>
      </w:r>
      <w:r>
        <w:rPr>
          <w:rStyle w:val="apple-converted-space"/>
          <w:color w:val="000000"/>
        </w:rPr>
        <w:t> </w:t>
      </w:r>
      <w:r>
        <w:rPr>
          <w:color w:val="000000"/>
        </w:rPr>
        <w:t>en los primeros 3 años:</w:t>
      </w:r>
    </w:p>
    <w:p w14:paraId="07573D37" w14:textId="12952CED" w:rsidR="007A2240" w:rsidRPr="007A2240" w:rsidRDefault="007A2240" w:rsidP="007A2240">
      <w:pPr>
        <w:pStyle w:val="NormalWeb"/>
        <w:numPr>
          <w:ilvl w:val="0"/>
          <w:numId w:val="26"/>
        </w:numPr>
        <w:jc w:val="both"/>
        <w:rPr>
          <w:color w:val="000000"/>
        </w:rPr>
      </w:pPr>
      <w:r>
        <w:rPr>
          <w:b/>
          <w:bCs/>
          <w:color w:val="000000"/>
        </w:rPr>
        <w:t>Ley 57-07 (Incentivo a Renovables):</w:t>
      </w:r>
      <w:r>
        <w:rPr>
          <w:rStyle w:val="apple-converted-space"/>
          <w:color w:val="000000"/>
        </w:rPr>
        <w:t> </w:t>
      </w:r>
      <w:r>
        <w:rPr>
          <w:color w:val="000000"/>
        </w:rPr>
        <w:t>Aplicación del</w:t>
      </w:r>
      <w:r>
        <w:rPr>
          <w:rStyle w:val="apple-converted-space"/>
          <w:color w:val="000000"/>
        </w:rPr>
        <w:t> </w:t>
      </w:r>
      <w:r>
        <w:rPr>
          <w:b/>
          <w:bCs/>
          <w:color w:val="000000"/>
        </w:rPr>
        <w:t>crédito fiscal del 40%</w:t>
      </w:r>
      <w:r>
        <w:rPr>
          <w:rStyle w:val="apple-converted-space"/>
          <w:color w:val="000000"/>
        </w:rPr>
        <w:t> </w:t>
      </w:r>
      <w:r>
        <w:rPr>
          <w:color w:val="000000"/>
        </w:rPr>
        <w:t>sobre la inversión en paneles solares y microrredes para edificios e infraestructuras del Metro.</w:t>
      </w:r>
    </w:p>
    <w:p w14:paraId="38D41F67" w14:textId="77777777" w:rsidR="007A2240" w:rsidRDefault="007A2240" w:rsidP="007A2240">
      <w:pPr>
        <w:pStyle w:val="NormalWeb"/>
        <w:numPr>
          <w:ilvl w:val="0"/>
          <w:numId w:val="26"/>
        </w:numPr>
        <w:jc w:val="both"/>
        <w:rPr>
          <w:color w:val="000000"/>
        </w:rPr>
      </w:pPr>
      <w:r>
        <w:rPr>
          <w:b/>
          <w:bCs/>
          <w:color w:val="000000"/>
        </w:rPr>
        <w:t>Ley 103-13 (Movilidad Eléctrica):</w:t>
      </w:r>
      <w:r>
        <w:rPr>
          <w:rStyle w:val="apple-converted-space"/>
          <w:color w:val="000000"/>
        </w:rPr>
        <w:t> </w:t>
      </w:r>
      <w:r>
        <w:rPr>
          <w:color w:val="000000"/>
        </w:rPr>
        <w:t>Reducción arancelaria del 50% en la importación de la flota de buses eléctricos y estaciones de carga rápida.</w:t>
      </w:r>
    </w:p>
    <w:p w14:paraId="3CC583A4" w14:textId="77777777" w:rsidR="007A2240" w:rsidRDefault="007A2240" w:rsidP="007A2240">
      <w:pPr>
        <w:pStyle w:val="NormalWeb"/>
        <w:numPr>
          <w:ilvl w:val="0"/>
          <w:numId w:val="26"/>
        </w:numPr>
        <w:jc w:val="both"/>
        <w:rPr>
          <w:color w:val="000000"/>
        </w:rPr>
      </w:pPr>
      <w:r>
        <w:rPr>
          <w:b/>
          <w:bCs/>
          <w:color w:val="000000"/>
        </w:rPr>
        <w:t>Ley 189-11 (Fideicomiso):</w:t>
      </w:r>
      <w:r>
        <w:rPr>
          <w:rStyle w:val="apple-converted-space"/>
          <w:color w:val="000000"/>
        </w:rPr>
        <w:t> </w:t>
      </w:r>
      <w:r>
        <w:rPr>
          <w:color w:val="000000"/>
        </w:rPr>
        <w:t>Estructuración de fideicomisos para la gestión de la plusvalía urbana, asegurando transparencia y seguridad jurídica para los inversionistas inmobiliarios.</w:t>
      </w:r>
    </w:p>
    <w:p w14:paraId="35A7C25D" w14:textId="77777777" w:rsidR="007A2240" w:rsidRDefault="007A2240" w:rsidP="007A2240">
      <w:pPr>
        <w:pStyle w:val="NormalWeb"/>
        <w:numPr>
          <w:ilvl w:val="0"/>
          <w:numId w:val="26"/>
        </w:numPr>
        <w:jc w:val="both"/>
        <w:rPr>
          <w:color w:val="000000"/>
        </w:rPr>
      </w:pPr>
    </w:p>
    <w:p w14:paraId="00580086" w14:textId="77777777" w:rsidR="007A2240" w:rsidRDefault="007A2240" w:rsidP="007A2240">
      <w:pPr>
        <w:pStyle w:val="Ttulo3"/>
        <w:jc w:val="both"/>
        <w:rPr>
          <w:color w:val="000000"/>
        </w:rPr>
      </w:pPr>
      <w:r>
        <w:rPr>
          <w:color w:val="000000"/>
        </w:rPr>
        <w:lastRenderedPageBreak/>
        <w:t>2.4. Valoración de Activos Certificados y Payback Descontado (PRD-VR)</w:t>
      </w:r>
    </w:p>
    <w:p w14:paraId="4B18D544" w14:textId="77777777" w:rsidR="007A2240" w:rsidRDefault="007A2240" w:rsidP="007A2240">
      <w:pPr>
        <w:pStyle w:val="NormalWeb"/>
        <w:jc w:val="both"/>
        <w:rPr>
          <w:color w:val="000000"/>
        </w:rPr>
      </w:pPr>
      <w:r>
        <w:rPr>
          <w:color w:val="000000"/>
        </w:rPr>
        <w:t>El activo inmobiliario de 2036 se diferencia por su capacidad de retener valor en el tiempo:</w:t>
      </w:r>
    </w:p>
    <w:p w14:paraId="1809AD89" w14:textId="3B8375A1" w:rsidR="007A2240" w:rsidRPr="007A2240" w:rsidRDefault="007A2240" w:rsidP="007A2240">
      <w:pPr>
        <w:pStyle w:val="NormalWeb"/>
        <w:numPr>
          <w:ilvl w:val="0"/>
          <w:numId w:val="27"/>
        </w:numPr>
        <w:jc w:val="both"/>
        <w:rPr>
          <w:color w:val="000000"/>
        </w:rPr>
      </w:pPr>
      <w:r>
        <w:rPr>
          <w:b/>
          <w:bCs/>
          <w:color w:val="000000"/>
        </w:rPr>
        <w:t>Valor Residual (PRD-VR):</w:t>
      </w:r>
      <w:r>
        <w:rPr>
          <w:rStyle w:val="apple-converted-space"/>
          <w:color w:val="000000"/>
        </w:rPr>
        <w:t> </w:t>
      </w:r>
      <w:r>
        <w:rPr>
          <w:color w:val="000000"/>
        </w:rPr>
        <w:t>Los edificios con certificación LEED/EDGE y conectividad inteligente retienen un valor de salida mayor, evitando la obsolescencia que sufrirán los edificios convencionales en la próxima década.</w:t>
      </w:r>
    </w:p>
    <w:p w14:paraId="46531F09" w14:textId="77777777" w:rsidR="007A2240" w:rsidRDefault="007A2240" w:rsidP="007A2240">
      <w:pPr>
        <w:pStyle w:val="NormalWeb"/>
        <w:numPr>
          <w:ilvl w:val="0"/>
          <w:numId w:val="27"/>
        </w:numPr>
        <w:jc w:val="both"/>
        <w:rPr>
          <w:color w:val="000000"/>
        </w:rPr>
      </w:pPr>
      <w:r>
        <w:rPr>
          <w:b/>
          <w:bCs/>
          <w:color w:val="000000"/>
        </w:rPr>
        <w:t>Ciclo de Recuperación:</w:t>
      </w:r>
      <w:r>
        <w:rPr>
          <w:rStyle w:val="apple-converted-space"/>
          <w:color w:val="000000"/>
        </w:rPr>
        <w:t> </w:t>
      </w:r>
      <w:r>
        <w:rPr>
          <w:color w:val="000000"/>
        </w:rPr>
        <w:t>Se estima un</w:t>
      </w:r>
      <w:r>
        <w:rPr>
          <w:rStyle w:val="apple-converted-space"/>
          <w:color w:val="000000"/>
        </w:rPr>
        <w:t> </w:t>
      </w:r>
      <w:r>
        <w:rPr>
          <w:b/>
          <w:bCs/>
          <w:color w:val="000000"/>
        </w:rPr>
        <w:t>Payback descontado de 6 a 10 años</w:t>
      </w:r>
      <w:r>
        <w:rPr>
          <w:color w:val="000000"/>
        </w:rPr>
        <w:t>, dependiendo del eje estratégico (siendo el Hub de Innovación el de retorno más rápido).</w:t>
      </w:r>
    </w:p>
    <w:p w14:paraId="7DDA73EF" w14:textId="77777777" w:rsidR="007A2240" w:rsidRDefault="007A2240" w:rsidP="007A2240">
      <w:pPr>
        <w:pStyle w:val="NormalWeb"/>
        <w:numPr>
          <w:ilvl w:val="0"/>
          <w:numId w:val="27"/>
        </w:numPr>
        <w:jc w:val="both"/>
        <w:rPr>
          <w:color w:val="000000"/>
        </w:rPr>
      </w:pPr>
      <w:r>
        <w:rPr>
          <w:b/>
          <w:bCs/>
          <w:color w:val="000000"/>
        </w:rPr>
        <w:t>Monetización de Datos:</w:t>
      </w:r>
      <w:r>
        <w:rPr>
          <w:rStyle w:val="apple-converted-space"/>
          <w:color w:val="000000"/>
        </w:rPr>
        <w:t> </w:t>
      </w:r>
      <w:r>
        <w:rPr>
          <w:color w:val="000000"/>
        </w:rPr>
        <w:t>El proyecto integra la venta de analítica de datos urbanos premium a empresas privadas como una fuente de ingresos no convencional pero altamente escalable.</w:t>
      </w:r>
    </w:p>
    <w:p w14:paraId="2AD1A2CE" w14:textId="77777777" w:rsidR="004E62C5" w:rsidRDefault="004E62C5" w:rsidP="00875CCF">
      <w:pPr>
        <w:pStyle w:val="Ttulo2"/>
        <w:jc w:val="both"/>
      </w:pPr>
    </w:p>
    <w:p w14:paraId="2BA32450" w14:textId="77777777" w:rsidR="00875CCF" w:rsidRDefault="00875CCF" w:rsidP="00875CCF">
      <w:pPr>
        <w:pStyle w:val="Ttulo2"/>
        <w:jc w:val="both"/>
      </w:pPr>
    </w:p>
    <w:p w14:paraId="2FF2BC24" w14:textId="77777777" w:rsidR="00875CCF" w:rsidRDefault="00875CCF" w:rsidP="00875CCF">
      <w:pPr>
        <w:pStyle w:val="Ttulo2"/>
        <w:jc w:val="both"/>
      </w:pPr>
    </w:p>
    <w:p w14:paraId="408C3767" w14:textId="77777777" w:rsidR="00875CCF" w:rsidRDefault="00875CCF" w:rsidP="00875CCF">
      <w:pPr>
        <w:pStyle w:val="Ttulo2"/>
        <w:jc w:val="both"/>
      </w:pPr>
    </w:p>
    <w:p w14:paraId="61F114A4" w14:textId="77777777" w:rsidR="00875CCF" w:rsidRDefault="00875CCF" w:rsidP="00875CCF">
      <w:pPr>
        <w:pStyle w:val="Ttulo2"/>
        <w:jc w:val="both"/>
      </w:pPr>
    </w:p>
    <w:p w14:paraId="549F7FA7" w14:textId="77777777" w:rsidR="00875CCF" w:rsidRDefault="00875CCF" w:rsidP="00875CCF">
      <w:pPr>
        <w:pStyle w:val="Ttulo2"/>
        <w:jc w:val="both"/>
      </w:pPr>
    </w:p>
    <w:p w14:paraId="0CA446EF" w14:textId="77777777" w:rsidR="00875CCF" w:rsidRDefault="00875CCF" w:rsidP="00875CCF">
      <w:pPr>
        <w:pStyle w:val="Ttulo2"/>
        <w:jc w:val="both"/>
      </w:pPr>
    </w:p>
    <w:p w14:paraId="1D8C0A90" w14:textId="77777777" w:rsidR="00875CCF" w:rsidRDefault="00875CCF" w:rsidP="00875CCF">
      <w:pPr>
        <w:pStyle w:val="Ttulo2"/>
        <w:jc w:val="both"/>
      </w:pPr>
    </w:p>
    <w:p w14:paraId="19E63767" w14:textId="77777777" w:rsidR="00875CCF" w:rsidRDefault="00875CCF" w:rsidP="00875CCF">
      <w:pPr>
        <w:pStyle w:val="Ttulo2"/>
        <w:jc w:val="both"/>
      </w:pPr>
    </w:p>
    <w:p w14:paraId="7781E3D8" w14:textId="77777777" w:rsidR="00875CCF" w:rsidRDefault="00875CCF" w:rsidP="00875CCF">
      <w:pPr>
        <w:pStyle w:val="Ttulo2"/>
        <w:jc w:val="both"/>
      </w:pPr>
    </w:p>
    <w:p w14:paraId="494B25B8" w14:textId="77777777" w:rsidR="00875CCF" w:rsidRDefault="00875CCF" w:rsidP="00875CCF">
      <w:pPr>
        <w:pStyle w:val="Ttulo2"/>
        <w:jc w:val="both"/>
      </w:pPr>
    </w:p>
    <w:p w14:paraId="1AE46C1A" w14:textId="77777777" w:rsidR="00875CCF" w:rsidRDefault="00875CCF" w:rsidP="00875CCF">
      <w:pPr>
        <w:pStyle w:val="Ttulo2"/>
        <w:jc w:val="both"/>
      </w:pPr>
    </w:p>
    <w:p w14:paraId="3D2104CB" w14:textId="77777777" w:rsidR="00875CCF" w:rsidRDefault="00875CCF" w:rsidP="00875CCF">
      <w:pPr>
        <w:pStyle w:val="Ttulo2"/>
        <w:jc w:val="both"/>
      </w:pPr>
    </w:p>
    <w:p w14:paraId="401C2B1F" w14:textId="77777777" w:rsidR="00875CCF" w:rsidRDefault="00875CCF" w:rsidP="00875CCF">
      <w:pPr>
        <w:pStyle w:val="Ttulo2"/>
        <w:jc w:val="both"/>
      </w:pPr>
    </w:p>
    <w:p w14:paraId="41A0EBEB" w14:textId="77777777" w:rsidR="00875CCF" w:rsidRDefault="00875CCF" w:rsidP="00875CCF">
      <w:pPr>
        <w:pStyle w:val="Ttulo2"/>
        <w:jc w:val="both"/>
      </w:pPr>
    </w:p>
    <w:p w14:paraId="4630CD13" w14:textId="77777777" w:rsidR="00875CCF" w:rsidRDefault="00875CCF" w:rsidP="00875CCF">
      <w:pPr>
        <w:pStyle w:val="Ttulo2"/>
        <w:jc w:val="both"/>
      </w:pPr>
    </w:p>
    <w:p w14:paraId="5D62ADA1" w14:textId="77777777" w:rsidR="00875CCF" w:rsidRDefault="00875CCF" w:rsidP="00875CCF">
      <w:pPr>
        <w:pStyle w:val="Ttulo2"/>
        <w:jc w:val="both"/>
      </w:pPr>
    </w:p>
    <w:p w14:paraId="74F80B56" w14:textId="59383C00" w:rsidR="00C00637" w:rsidRDefault="00C00637" w:rsidP="00875CCF">
      <w:pPr>
        <w:pStyle w:val="Ttulo2"/>
        <w:jc w:val="both"/>
      </w:pPr>
      <w:bookmarkStart w:id="7" w:name="_Toc228954050"/>
      <w:r>
        <w:t>Pilar 3: Tecnología e Innovación</w:t>
      </w:r>
      <w:bookmarkEnd w:id="7"/>
    </w:p>
    <w:p w14:paraId="6AD7EA89" w14:textId="77777777" w:rsidR="00C00637" w:rsidRDefault="00C00637" w:rsidP="00875CCF">
      <w:pPr>
        <w:pStyle w:val="font-claude-response-body"/>
        <w:jc w:val="both"/>
      </w:pPr>
      <w:r>
        <w:rPr>
          <w:rStyle w:val="Fuerte"/>
        </w:rPr>
        <w:t>Fundamentación sistémica y rigor analítico</w:t>
      </w:r>
      <w:r>
        <w:t xml:space="preserve"> La propuesta articula de forma lógica y coherente: diagnóstico de crisis urbana → solución tecnológica estructural → resultados medibles y verificables. La tecnología no es un accesorio decorativo; es el componente que hace funcionar cada eje de la propuesta.</w:t>
      </w:r>
    </w:p>
    <w:p w14:paraId="784D7331" w14:textId="77777777" w:rsidR="00C00637" w:rsidRDefault="00C00637" w:rsidP="00875CCF">
      <w:pPr>
        <w:pStyle w:val="font-claude-response-body"/>
        <w:jc w:val="both"/>
      </w:pPr>
      <w:r>
        <w:rPr>
          <w:rStyle w:val="Fuerte"/>
        </w:rPr>
        <w:t>Infraestructura tecnológica base</w:t>
      </w:r>
    </w:p>
    <w:p w14:paraId="4E490E85" w14:textId="77777777" w:rsidR="00C00637" w:rsidRDefault="00C00637" w:rsidP="00875CCF">
      <w:pPr>
        <w:pStyle w:val="whitespace-normal"/>
        <w:numPr>
          <w:ilvl w:val="0"/>
          <w:numId w:val="10"/>
        </w:numPr>
        <w:jc w:val="both"/>
      </w:pPr>
      <w:r>
        <w:t>Red 5G para telemedicina, movilidad autónoma y servicios en tiempo real</w:t>
      </w:r>
    </w:p>
    <w:p w14:paraId="63BED78F" w14:textId="77777777" w:rsidR="00C00637" w:rsidRDefault="00C00637" w:rsidP="00875CCF">
      <w:pPr>
        <w:pStyle w:val="whitespace-normal"/>
        <w:numPr>
          <w:ilvl w:val="0"/>
          <w:numId w:val="10"/>
        </w:numPr>
        <w:jc w:val="both"/>
      </w:pPr>
      <w:r>
        <w:t>LoRaWAN para sensores de bajo consumo en agua, residuos y parqueos</w:t>
      </w:r>
    </w:p>
    <w:p w14:paraId="2B608196" w14:textId="77777777" w:rsidR="00C00637" w:rsidRDefault="00C00637" w:rsidP="00875CCF">
      <w:pPr>
        <w:pStyle w:val="whitespace-normal"/>
        <w:numPr>
          <w:ilvl w:val="0"/>
          <w:numId w:val="10"/>
        </w:numPr>
        <w:jc w:val="both"/>
      </w:pPr>
      <w:r>
        <w:t>Fibra óptica como columna principal de comunicación</w:t>
      </w:r>
    </w:p>
    <w:p w14:paraId="30581BE7" w14:textId="77777777" w:rsidR="00C00637" w:rsidRDefault="00C00637" w:rsidP="00875CCF">
      <w:pPr>
        <w:pStyle w:val="whitespace-normal"/>
        <w:numPr>
          <w:ilvl w:val="0"/>
          <w:numId w:val="10"/>
        </w:numPr>
        <w:jc w:val="both"/>
      </w:pPr>
      <w:r>
        <w:t>Wi-Fi público gratuito en plazas, parques y estaciones</w:t>
      </w:r>
    </w:p>
    <w:p w14:paraId="3F33408A" w14:textId="77777777" w:rsidR="00C00637" w:rsidRDefault="00C00637" w:rsidP="00875CCF">
      <w:pPr>
        <w:pStyle w:val="font-claude-response-body"/>
        <w:jc w:val="both"/>
      </w:pPr>
      <w:r>
        <w:rPr>
          <w:rStyle w:val="Fuerte"/>
        </w:rPr>
        <w:t>Integración de tecnologías innovadoras por sector</w:t>
      </w:r>
    </w:p>
    <w:p w14:paraId="2C3FBCE2" w14:textId="77777777" w:rsidR="00C00637" w:rsidRDefault="00C00637" w:rsidP="00875CCF">
      <w:pPr>
        <w:pStyle w:val="font-claude-response-body"/>
        <w:numPr>
          <w:ilvl w:val="0"/>
          <w:numId w:val="19"/>
        </w:numPr>
        <w:jc w:val="both"/>
      </w:pPr>
      <w:r>
        <w:rPr>
          <w:rStyle w:val="nfasis"/>
        </w:rPr>
        <w:t>Movilidad:</w:t>
      </w:r>
      <w:r>
        <w:t xml:space="preserve"> Semáforos adaptativos, GPS en tiempo real, tarjeta única integrada, paradas inteligentes con energía solar y pantallas informativas.</w:t>
      </w:r>
    </w:p>
    <w:p w14:paraId="243E0045" w14:textId="77777777" w:rsidR="00C00637" w:rsidRDefault="00C00637" w:rsidP="00875CCF">
      <w:pPr>
        <w:pStyle w:val="font-claude-response-body"/>
        <w:numPr>
          <w:ilvl w:val="0"/>
          <w:numId w:val="19"/>
        </w:numPr>
        <w:jc w:val="both"/>
      </w:pPr>
      <w:r>
        <w:rPr>
          <w:rStyle w:val="nfasis"/>
        </w:rPr>
        <w:t>Salud:</w:t>
      </w:r>
      <w:r>
        <w:t xml:space="preserve"> Historia clínica electrónica unificada, telemedicina, triaje digital en emergencias, camas con sensores IoT y apoyo de IA para diagnósticos.</w:t>
      </w:r>
    </w:p>
    <w:p w14:paraId="799D2C8E" w14:textId="77777777" w:rsidR="00C00637" w:rsidRDefault="00C00637" w:rsidP="00875CCF">
      <w:pPr>
        <w:pStyle w:val="font-claude-response-body"/>
        <w:numPr>
          <w:ilvl w:val="0"/>
          <w:numId w:val="19"/>
        </w:numPr>
        <w:jc w:val="both"/>
      </w:pPr>
      <w:r>
        <w:rPr>
          <w:rStyle w:val="nfasis"/>
        </w:rPr>
        <w:t>Energía:</w:t>
      </w:r>
      <w:r>
        <w:t xml:space="preserve"> Smart grid, medidores inteligentes que eliminan facturas estimadas, microrredes solares comunitarias y alumbrado LED con sensores que ahorra hasta 60% del consumo.</w:t>
      </w:r>
    </w:p>
    <w:p w14:paraId="1DC34D75" w14:textId="77777777" w:rsidR="00C00637" w:rsidRDefault="00C00637" w:rsidP="00875CCF">
      <w:pPr>
        <w:pStyle w:val="font-claude-response-body"/>
        <w:numPr>
          <w:ilvl w:val="0"/>
          <w:numId w:val="19"/>
        </w:numPr>
        <w:jc w:val="both"/>
      </w:pPr>
      <w:r>
        <w:rPr>
          <w:rStyle w:val="nfasis"/>
        </w:rPr>
        <w:t>Agua:</w:t>
      </w:r>
      <w:r>
        <w:t xml:space="preserve"> Sensores de presión y caudal en red CAASD para detectar fugas enormes, estaciones de monitoreo de calidad y riego inteligente en parques.</w:t>
      </w:r>
    </w:p>
    <w:p w14:paraId="687F3D5F" w14:textId="77777777" w:rsidR="00C00637" w:rsidRDefault="00C00637" w:rsidP="00875CCF">
      <w:pPr>
        <w:pStyle w:val="font-claude-response-body"/>
        <w:numPr>
          <w:ilvl w:val="0"/>
          <w:numId w:val="19"/>
        </w:numPr>
        <w:jc w:val="both"/>
      </w:pPr>
      <w:r>
        <w:rPr>
          <w:rStyle w:val="nfasis"/>
        </w:rPr>
        <w:t>Seguridad ciudadana:</w:t>
      </w:r>
      <w:r>
        <w:t xml:space="preserve"> Red de cámaras con análisis por IA conectadas al 9-1-1, botones de pánico, sensores acústicos para detectar disparos, drones de respuesta rápida y app ciudadana de denuncia anónima.</w:t>
      </w:r>
    </w:p>
    <w:p w14:paraId="5E799590" w14:textId="549B47C0" w:rsidR="001B7A22" w:rsidRDefault="00C00637" w:rsidP="001B7A22">
      <w:pPr>
        <w:pStyle w:val="font-claude-response-body"/>
        <w:numPr>
          <w:ilvl w:val="0"/>
          <w:numId w:val="19"/>
        </w:numPr>
        <w:jc w:val="both"/>
      </w:pPr>
      <w:r>
        <w:rPr>
          <w:rStyle w:val="nfasis"/>
        </w:rPr>
        <w:t>Gobierno digital:</w:t>
      </w:r>
      <w:r>
        <w:t xml:space="preserve"> Identidad digital única inspirada en el modelo de Estonia, app ciudadana integral, trámites 100% en línea, presupuesto participativo digital y transparencia por blockchain.</w:t>
      </w:r>
    </w:p>
    <w:p w14:paraId="17657622" w14:textId="77777777" w:rsidR="001B7A22" w:rsidRDefault="00C00637" w:rsidP="001B7A22">
      <w:pPr>
        <w:pStyle w:val="font-claude-response-body"/>
        <w:jc w:val="both"/>
      </w:pPr>
      <w:r>
        <w:rPr>
          <w:rStyle w:val="Fuerte"/>
        </w:rPr>
        <w:t>Disrupción tecnológica con impacto práctico</w:t>
      </w:r>
      <w:r>
        <w:t xml:space="preserve"> </w:t>
      </w:r>
    </w:p>
    <w:p w14:paraId="78E5C8B3" w14:textId="5074441A" w:rsidR="00C00637" w:rsidRDefault="00C00637" w:rsidP="001B7A22">
      <w:pPr>
        <w:pStyle w:val="font-claude-response-body"/>
        <w:jc w:val="both"/>
      </w:pPr>
      <w:r>
        <w:t>La propuesta no importa tecnología irrelevante. Cada solución está seleccionada por su aplicabilidad al contexto dominicano, su escalabilidad y su impacto comprobable:</w:t>
      </w:r>
    </w:p>
    <w:p w14:paraId="2251734A" w14:textId="77777777" w:rsidR="00C00637" w:rsidRDefault="00C00637" w:rsidP="001B7A22">
      <w:pPr>
        <w:pStyle w:val="whitespace-normal"/>
        <w:numPr>
          <w:ilvl w:val="0"/>
          <w:numId w:val="11"/>
        </w:numPr>
        <w:jc w:val="both"/>
      </w:pPr>
      <w:r>
        <w:t>Sensores ESP32 de bajo costo ya operando en escuelas aliadas de Actuana Academy</w:t>
      </w:r>
    </w:p>
    <w:p w14:paraId="29C0A5E4" w14:textId="77777777" w:rsidR="00C00637" w:rsidRDefault="00C00637" w:rsidP="001B7A22">
      <w:pPr>
        <w:pStyle w:val="whitespace-normal"/>
        <w:numPr>
          <w:ilvl w:val="0"/>
          <w:numId w:val="11"/>
        </w:numPr>
        <w:jc w:val="both"/>
      </w:pPr>
      <w:r>
        <w:t>Centro de Operaciones de Ciudad (COC) integrado al sistema de monitoreo ambiental</w:t>
      </w:r>
    </w:p>
    <w:p w14:paraId="5EA8E4A8" w14:textId="77777777" w:rsidR="00C00637" w:rsidRDefault="00C00637" w:rsidP="001B7A22">
      <w:pPr>
        <w:pStyle w:val="whitespace-normal"/>
        <w:numPr>
          <w:ilvl w:val="0"/>
          <w:numId w:val="11"/>
        </w:numPr>
        <w:jc w:val="both"/>
      </w:pPr>
      <w:r>
        <w:t>Edificios inteligentes con paneles solares, sistema BMS, iluminación LED y control de acceso biométrico</w:t>
      </w:r>
    </w:p>
    <w:p w14:paraId="1058F027" w14:textId="77777777" w:rsidR="00C00637" w:rsidRDefault="00C00637" w:rsidP="001B7A22">
      <w:pPr>
        <w:pStyle w:val="font-claude-response-body"/>
        <w:jc w:val="both"/>
      </w:pPr>
      <w:r>
        <w:rPr>
          <w:rStyle w:val="Fuerte"/>
        </w:rPr>
        <w:t>Educación STEAM — El factor que multiplica todo</w:t>
      </w:r>
    </w:p>
    <w:p w14:paraId="3F01C9F5" w14:textId="77777777" w:rsidR="00C00637" w:rsidRDefault="00C00637" w:rsidP="001B7A22">
      <w:pPr>
        <w:pStyle w:val="whitespace-normal"/>
        <w:numPr>
          <w:ilvl w:val="0"/>
          <w:numId w:val="12"/>
        </w:numPr>
        <w:jc w:val="both"/>
      </w:pPr>
      <w:r>
        <w:lastRenderedPageBreak/>
        <w:t>Laboratorios STEAM con robótica, programación y tecnología aplicada en cada distrito escolar</w:t>
      </w:r>
    </w:p>
    <w:p w14:paraId="42AD81EA" w14:textId="77777777" w:rsidR="00C00637" w:rsidRDefault="00C00637" w:rsidP="001B7A22">
      <w:pPr>
        <w:pStyle w:val="whitespace-normal"/>
        <w:numPr>
          <w:ilvl w:val="0"/>
          <w:numId w:val="12"/>
        </w:numPr>
        <w:jc w:val="both"/>
      </w:pPr>
      <w:r>
        <w:t>Formación docente continua obligatoria con evaluaciones periódicas de desempeño</w:t>
      </w:r>
    </w:p>
    <w:p w14:paraId="155DB38B" w14:textId="77777777" w:rsidR="00C00637" w:rsidRDefault="00C00637" w:rsidP="001B7A22">
      <w:pPr>
        <w:pStyle w:val="whitespace-normal"/>
        <w:numPr>
          <w:ilvl w:val="0"/>
          <w:numId w:val="12"/>
        </w:numPr>
        <w:jc w:val="both"/>
      </w:pPr>
      <w:r>
        <w:t>Proceso de ingreso al magisterio basado en competencias verificadas mediante pruebas estandarizadas de dominio disciplinar, capacidad pedagógica y aptitud con distintos perfiles estudiantiles</w:t>
      </w:r>
    </w:p>
    <w:p w14:paraId="46BDA48D" w14:textId="77777777" w:rsidR="00C00637" w:rsidRDefault="00C00637" w:rsidP="001B7A22">
      <w:pPr>
        <w:pStyle w:val="whitespace-normal"/>
        <w:numPr>
          <w:ilvl w:val="0"/>
          <w:numId w:val="12"/>
        </w:numPr>
        <w:jc w:val="both"/>
      </w:pPr>
      <w:r>
        <w:t>Actuana Academy como evidencia local: más de 1,200 estudiantes y pilotos con sensores ESP32 que demuestran que esta metodología transforma el aprendizaje y genera soluciones urbanas reales</w:t>
      </w:r>
    </w:p>
    <w:p w14:paraId="745E92E1" w14:textId="77777777" w:rsidR="00C00637" w:rsidRDefault="00C00637" w:rsidP="00C00637">
      <w:pPr>
        <w:pStyle w:val="font-claude-response-body"/>
      </w:pPr>
      <w:r>
        <w:rPr>
          <w:rStyle w:val="Fuerte"/>
        </w:rPr>
        <w:t>Impacto social, educativo y ambiental</w:t>
      </w:r>
    </w:p>
    <w:tbl>
      <w:tblPr>
        <w:tblStyle w:val="Tablaconcuadrcula4-nfasis1"/>
        <w:tblW w:w="0" w:type="auto"/>
        <w:tblLook w:val="04A0" w:firstRow="1" w:lastRow="0" w:firstColumn="1" w:lastColumn="0" w:noHBand="0" w:noVBand="1"/>
      </w:tblPr>
      <w:tblGrid>
        <w:gridCol w:w="3391"/>
        <w:gridCol w:w="5959"/>
      </w:tblGrid>
      <w:tr w:rsidR="00C00637" w14:paraId="4E316133" w14:textId="77777777" w:rsidTr="007C4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5C3E3" w14:textId="77777777" w:rsidR="00C00637" w:rsidRPr="00B901B2" w:rsidRDefault="00C00637">
            <w:pPr>
              <w:jc w:val="center"/>
            </w:pPr>
            <w:r w:rsidRPr="00B901B2">
              <w:t>Grupo vulnerable</w:t>
            </w:r>
          </w:p>
        </w:tc>
        <w:tc>
          <w:tcPr>
            <w:tcW w:w="0" w:type="auto"/>
            <w:hideMark/>
          </w:tcPr>
          <w:p w14:paraId="08A8C8F0" w14:textId="77777777" w:rsidR="00C00637" w:rsidRPr="00B901B2" w:rsidRDefault="00C00637">
            <w:pPr>
              <w:jc w:val="center"/>
              <w:cnfStyle w:val="100000000000" w:firstRow="1" w:lastRow="0" w:firstColumn="0" w:lastColumn="0" w:oddVBand="0" w:evenVBand="0" w:oddHBand="0" w:evenHBand="0" w:firstRowFirstColumn="0" w:firstRowLastColumn="0" w:lastRowFirstColumn="0" w:lastRowLastColumn="0"/>
            </w:pPr>
            <w:r w:rsidRPr="00B901B2">
              <w:t>Impacto concreto</w:t>
            </w:r>
          </w:p>
        </w:tc>
      </w:tr>
      <w:tr w:rsidR="00C00637" w14:paraId="7FAB7041"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ABC57" w14:textId="77777777" w:rsidR="00C00637" w:rsidRDefault="00C00637">
            <w:pPr>
              <w:rPr>
                <w:b w:val="0"/>
                <w:bCs w:val="0"/>
              </w:rPr>
            </w:pPr>
            <w:r>
              <w:t>Mujeres jefas de hogar</w:t>
            </w:r>
          </w:p>
        </w:tc>
        <w:tc>
          <w:tcPr>
            <w:tcW w:w="0" w:type="auto"/>
            <w:hideMark/>
          </w:tcPr>
          <w:p w14:paraId="34C83524" w14:textId="77777777" w:rsidR="00C00637" w:rsidRDefault="00C00637">
            <w:pPr>
              <w:cnfStyle w:val="000000100000" w:firstRow="0" w:lastRow="0" w:firstColumn="0" w:lastColumn="0" w:oddVBand="0" w:evenVBand="0" w:oddHBand="1" w:evenHBand="0" w:firstRowFirstColumn="0" w:firstRowLastColumn="0" w:lastRowFirstColumn="0" w:lastRowLastColumn="0"/>
            </w:pPr>
            <w:r>
              <w:t>2 horas diarias recuperadas; menor riesgo en transporte público</w:t>
            </w:r>
          </w:p>
        </w:tc>
      </w:tr>
      <w:tr w:rsidR="00C00637" w14:paraId="11DCB8C3"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6EFE6712" w14:textId="77777777" w:rsidR="00C00637" w:rsidRDefault="00C00637">
            <w:r>
              <w:t>Personas con discapacidad</w:t>
            </w:r>
          </w:p>
        </w:tc>
        <w:tc>
          <w:tcPr>
            <w:tcW w:w="0" w:type="auto"/>
            <w:hideMark/>
          </w:tcPr>
          <w:p w14:paraId="30C50850" w14:textId="77777777" w:rsidR="00C00637" w:rsidRDefault="00C00637">
            <w:pPr>
              <w:cnfStyle w:val="000000000000" w:firstRow="0" w:lastRow="0" w:firstColumn="0" w:lastColumn="0" w:oddVBand="0" w:evenVBand="0" w:oddHBand="0" w:evenHBand="0" w:firstRowFirstColumn="0" w:firstRowLastColumn="0" w:lastRowFirstColumn="0" w:lastRowLastColumn="0"/>
            </w:pPr>
            <w:r>
              <w:t>Estaciones accesibles, telemedicina, trámites digitales accesibles</w:t>
            </w:r>
          </w:p>
        </w:tc>
      </w:tr>
      <w:tr w:rsidR="00C00637" w14:paraId="4294BD7C"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8C031" w14:textId="77777777" w:rsidR="00C00637" w:rsidRDefault="00C00637">
            <w:r>
              <w:t>Adultos mayores</w:t>
            </w:r>
          </w:p>
        </w:tc>
        <w:tc>
          <w:tcPr>
            <w:tcW w:w="0" w:type="auto"/>
            <w:hideMark/>
          </w:tcPr>
          <w:p w14:paraId="73E21035" w14:textId="77777777" w:rsidR="00C00637" w:rsidRDefault="00C00637">
            <w:pPr>
              <w:cnfStyle w:val="000000100000" w:firstRow="0" w:lastRow="0" w:firstColumn="0" w:lastColumn="0" w:oddVBand="0" w:evenVBand="0" w:oddHBand="1" w:evenHBand="0" w:firstRowFirstColumn="0" w:firstRowLastColumn="0" w:lastRowFirstColumn="0" w:lastRowLastColumn="0"/>
            </w:pPr>
            <w:r>
              <w:t>Tarjeta preferencial integrada, atención presencial garantizada</w:t>
            </w:r>
          </w:p>
        </w:tc>
      </w:tr>
      <w:tr w:rsidR="00C00637" w14:paraId="1ADAD024"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5F361E07" w14:textId="77777777" w:rsidR="00C00637" w:rsidRDefault="00C00637">
            <w:r>
              <w:t>Niñez y adolescencia</w:t>
            </w:r>
          </w:p>
        </w:tc>
        <w:tc>
          <w:tcPr>
            <w:tcW w:w="0" w:type="auto"/>
            <w:hideMark/>
          </w:tcPr>
          <w:p w14:paraId="3A2AE688" w14:textId="77777777" w:rsidR="00C00637" w:rsidRDefault="00C00637">
            <w:pPr>
              <w:cnfStyle w:val="000000000000" w:firstRow="0" w:lastRow="0" w:firstColumn="0" w:lastColumn="0" w:oddVBand="0" w:evenVBand="0" w:oddHBand="0" w:evenHBand="0" w:firstRowFirstColumn="0" w:firstRowLastColumn="0" w:lastRowFirstColumn="0" w:lastRowLastColumn="0"/>
            </w:pPr>
            <w:r>
              <w:t>Laboratorios STEAM, Wi-Fi en escuelas, rutas escolares seguras</w:t>
            </w:r>
          </w:p>
        </w:tc>
      </w:tr>
      <w:tr w:rsidR="00C00637" w14:paraId="4C06347C"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FBBA9" w14:textId="77777777" w:rsidR="00C00637" w:rsidRDefault="00C00637">
            <w:r>
              <w:t>Familias en zonas de inundación</w:t>
            </w:r>
          </w:p>
        </w:tc>
        <w:tc>
          <w:tcPr>
            <w:tcW w:w="0" w:type="auto"/>
            <w:hideMark/>
          </w:tcPr>
          <w:p w14:paraId="747F2047" w14:textId="77777777" w:rsidR="00C00637" w:rsidRDefault="00C00637">
            <w:pPr>
              <w:cnfStyle w:val="000000100000" w:firstRow="0" w:lastRow="0" w:firstColumn="0" w:lastColumn="0" w:oddVBand="0" w:evenVBand="0" w:oddHBand="1" w:evenHBand="0" w:firstRowFirstColumn="0" w:firstRowLastColumn="0" w:lastRowFirstColumn="0" w:lastRowLastColumn="0"/>
            </w:pPr>
            <w:r>
              <w:t>Alerta temprana ESP32, recuperación del corredor del Ozama</w:t>
            </w:r>
          </w:p>
        </w:tc>
      </w:tr>
      <w:tr w:rsidR="00C00637" w14:paraId="0BE3ED9D"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25185A15" w14:textId="77777777" w:rsidR="00C00637" w:rsidRDefault="00C00637">
            <w:r>
              <w:t>Trabajadores informales</w:t>
            </w:r>
          </w:p>
        </w:tc>
        <w:tc>
          <w:tcPr>
            <w:tcW w:w="0" w:type="auto"/>
            <w:hideMark/>
          </w:tcPr>
          <w:p w14:paraId="324493B9" w14:textId="77777777" w:rsidR="00C00637" w:rsidRDefault="00C00637">
            <w:pPr>
              <w:cnfStyle w:val="000000000000" w:firstRow="0" w:lastRow="0" w:firstColumn="0" w:lastColumn="0" w:oddVBand="0" w:evenVBand="0" w:oddHBand="0" w:evenHBand="0" w:firstRowFirstColumn="0" w:firstRowLastColumn="0" w:lastRowFirstColumn="0" w:lastRowLastColumn="0"/>
            </w:pPr>
            <w:r>
              <w:t>Formalización progresiva, coworking gratuito, formación técnica</w:t>
            </w:r>
          </w:p>
        </w:tc>
      </w:tr>
    </w:tbl>
    <w:p w14:paraId="421F4580" w14:textId="77777777" w:rsidR="00C00637" w:rsidRDefault="00C00637" w:rsidP="00C00637">
      <w:pPr>
        <w:pStyle w:val="font-claude-response-body"/>
      </w:pPr>
      <w:r>
        <w:rPr>
          <w:rStyle w:val="Fuerte"/>
        </w:rPr>
        <w:t>Privacidad y ética digital</w:t>
      </w:r>
      <w:r>
        <w:t xml:space="preserve"> Una ciudad inteligente sin marco de protección no es inteligente, es vigilante. La propuesta garantiza cumplimiento estricto de la Ley 172-13, anonimización por diseño, auditoría algorítmica externa anual y derecho al ciudadano analógico garantizado en paralelo a todos los servicios digitales.</w:t>
      </w:r>
    </w:p>
    <w:p w14:paraId="2E541D5C" w14:textId="77777777" w:rsidR="001B7A22" w:rsidRDefault="001B7A22" w:rsidP="00C00637">
      <w:pPr>
        <w:pStyle w:val="font-claude-response-body"/>
      </w:pPr>
    </w:p>
    <w:p w14:paraId="01113E8E" w14:textId="77777777" w:rsidR="001B7A22" w:rsidRDefault="001B7A22" w:rsidP="00C00637">
      <w:pPr>
        <w:pStyle w:val="font-claude-response-body"/>
      </w:pPr>
    </w:p>
    <w:p w14:paraId="51F54E72" w14:textId="77777777" w:rsidR="007A2240" w:rsidRDefault="007A2240" w:rsidP="00C00637">
      <w:pPr>
        <w:pStyle w:val="font-claude-response-body"/>
      </w:pPr>
    </w:p>
    <w:p w14:paraId="0AFFD30A" w14:textId="77777777" w:rsidR="007A2240" w:rsidRDefault="007A2240" w:rsidP="00C00637">
      <w:pPr>
        <w:pStyle w:val="font-claude-response-body"/>
      </w:pPr>
    </w:p>
    <w:p w14:paraId="5A80CC6D" w14:textId="77777777" w:rsidR="007A2240" w:rsidRDefault="007A2240" w:rsidP="00C00637">
      <w:pPr>
        <w:pStyle w:val="font-claude-response-body"/>
      </w:pPr>
    </w:p>
    <w:p w14:paraId="084C1022" w14:textId="77777777" w:rsidR="007A2240" w:rsidRDefault="007A2240" w:rsidP="00C00637">
      <w:pPr>
        <w:pStyle w:val="font-claude-response-body"/>
      </w:pPr>
    </w:p>
    <w:p w14:paraId="780B8030" w14:textId="77777777" w:rsidR="007A2240" w:rsidRDefault="007A2240" w:rsidP="00C00637">
      <w:pPr>
        <w:pStyle w:val="font-claude-response-body"/>
      </w:pPr>
    </w:p>
    <w:p w14:paraId="0647A09D" w14:textId="77777777" w:rsidR="007A2240" w:rsidRDefault="007A2240" w:rsidP="00C00637">
      <w:pPr>
        <w:pStyle w:val="font-claude-response-body"/>
      </w:pPr>
    </w:p>
    <w:p w14:paraId="0C045D1E" w14:textId="77777777" w:rsidR="007C4D9F" w:rsidRDefault="007C4D9F" w:rsidP="007C4D9F">
      <w:pPr>
        <w:pStyle w:val="Ttulo2"/>
      </w:pPr>
      <w:bookmarkStart w:id="8" w:name="_Toc228954051"/>
      <w:r>
        <w:lastRenderedPageBreak/>
        <w:t>Pilar 4: Marco Legal, Gobernanza y ODS</w:t>
      </w:r>
      <w:bookmarkEnd w:id="8"/>
    </w:p>
    <w:p w14:paraId="1E74F5E8" w14:textId="77777777" w:rsidR="007C4D9F" w:rsidRDefault="007C4D9F" w:rsidP="007C4D9F">
      <w:pPr>
        <w:pStyle w:val="font-claude-response-body"/>
      </w:pPr>
      <w:r>
        <w:rPr>
          <w:rStyle w:val="Fuerte"/>
        </w:rPr>
        <w:t>Integración normativa — Alineación con los ODS priorizados</w:t>
      </w:r>
    </w:p>
    <w:tbl>
      <w:tblPr>
        <w:tblStyle w:val="Tablaconcuadrcula4-nfasis1"/>
        <w:tblW w:w="0" w:type="auto"/>
        <w:tblLook w:val="04A0" w:firstRow="1" w:lastRow="0" w:firstColumn="1" w:lastColumn="0" w:noHBand="0" w:noVBand="1"/>
      </w:tblPr>
      <w:tblGrid>
        <w:gridCol w:w="3557"/>
        <w:gridCol w:w="5793"/>
      </w:tblGrid>
      <w:tr w:rsidR="007C4D9F" w14:paraId="123645AD" w14:textId="77777777" w:rsidTr="007C4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A8CFE" w14:textId="77777777" w:rsidR="007C4D9F" w:rsidRPr="00B901B2" w:rsidRDefault="007C4D9F">
            <w:pPr>
              <w:jc w:val="center"/>
            </w:pPr>
            <w:r w:rsidRPr="00B901B2">
              <w:t>ODS</w:t>
            </w:r>
          </w:p>
        </w:tc>
        <w:tc>
          <w:tcPr>
            <w:tcW w:w="0" w:type="auto"/>
            <w:hideMark/>
          </w:tcPr>
          <w:p w14:paraId="17CF993C" w14:textId="77777777" w:rsidR="007C4D9F" w:rsidRPr="00B901B2" w:rsidRDefault="007C4D9F">
            <w:pPr>
              <w:jc w:val="center"/>
              <w:cnfStyle w:val="100000000000" w:firstRow="1" w:lastRow="0" w:firstColumn="0" w:lastColumn="0" w:oddVBand="0" w:evenVBand="0" w:oddHBand="0" w:evenHBand="0" w:firstRowFirstColumn="0" w:firstRowLastColumn="0" w:lastRowFirstColumn="0" w:lastRowLastColumn="0"/>
            </w:pPr>
            <w:r w:rsidRPr="00B901B2">
              <w:t>Aporte concreto de la propuesta</w:t>
            </w:r>
          </w:p>
        </w:tc>
      </w:tr>
      <w:tr w:rsidR="007C4D9F" w14:paraId="3172C959"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BBE23" w14:textId="77777777" w:rsidR="007C4D9F" w:rsidRDefault="007C4D9F">
            <w:pPr>
              <w:rPr>
                <w:b w:val="0"/>
                <w:bCs w:val="0"/>
              </w:rPr>
            </w:pPr>
            <w:r>
              <w:t>ODS 7 · Energía asequible</w:t>
            </w:r>
          </w:p>
        </w:tc>
        <w:tc>
          <w:tcPr>
            <w:tcW w:w="0" w:type="auto"/>
            <w:hideMark/>
          </w:tcPr>
          <w:p w14:paraId="0E5A18B6" w14:textId="77777777" w:rsidR="007C4D9F" w:rsidRDefault="007C4D9F">
            <w:pPr>
              <w:cnfStyle w:val="000000100000" w:firstRow="0" w:lastRow="0" w:firstColumn="0" w:lastColumn="0" w:oddVBand="0" w:evenVBand="0" w:oddHBand="1" w:evenHBand="0" w:firstRowFirstColumn="0" w:firstRowLastColumn="0" w:lastRowFirstColumn="0" w:lastRowLastColumn="0"/>
            </w:pPr>
            <w:r>
              <w:t>Smart grid, renovables, Ley 57-07, microrredes solares comunitarias</w:t>
            </w:r>
          </w:p>
        </w:tc>
      </w:tr>
      <w:tr w:rsidR="007C4D9F" w14:paraId="7DF0C3D8"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1BA31CE6" w14:textId="77777777" w:rsidR="007C4D9F" w:rsidRDefault="007C4D9F">
            <w:r>
              <w:t>ODS 9 · Innovación e infraestructura</w:t>
            </w:r>
          </w:p>
        </w:tc>
        <w:tc>
          <w:tcPr>
            <w:tcW w:w="0" w:type="auto"/>
            <w:hideMark/>
          </w:tcPr>
          <w:p w14:paraId="5B98548E" w14:textId="77777777" w:rsidR="007C4D9F" w:rsidRDefault="007C4D9F">
            <w:pPr>
              <w:cnfStyle w:val="000000000000" w:firstRow="0" w:lastRow="0" w:firstColumn="0" w:lastColumn="0" w:oddVBand="0" w:evenVBand="0" w:oddHBand="0" w:evenHBand="0" w:firstRowFirstColumn="0" w:firstRowLastColumn="0" w:lastRowFirstColumn="0" w:lastRowLastColumn="0"/>
            </w:pPr>
            <w:r>
              <w:t>Metro, Hub de Innovación del Caribe, laboratorios STEAM</w:t>
            </w:r>
          </w:p>
        </w:tc>
      </w:tr>
      <w:tr w:rsidR="007C4D9F" w14:paraId="7CFBD10C"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623C4" w14:textId="77777777" w:rsidR="007C4D9F" w:rsidRDefault="007C4D9F">
            <w:r>
              <w:t>ODS 11 · Ciudades sostenibles</w:t>
            </w:r>
          </w:p>
        </w:tc>
        <w:tc>
          <w:tcPr>
            <w:tcW w:w="0" w:type="auto"/>
            <w:hideMark/>
          </w:tcPr>
          <w:p w14:paraId="52E6D810" w14:textId="77777777" w:rsidR="007C4D9F" w:rsidRDefault="007C4D9F">
            <w:pPr>
              <w:cnfStyle w:val="000000100000" w:firstRow="0" w:lastRow="0" w:firstColumn="0" w:lastColumn="0" w:oddVBand="0" w:evenVBand="0" w:oddHBand="1" w:evenHBand="0" w:firstRowFirstColumn="0" w:firstRowLastColumn="0" w:lastRowFirstColumn="0" w:lastRowLastColumn="0"/>
            </w:pPr>
            <w:r>
              <w:t>Barrio Conectado, transporte masivo, densificación inteligente</w:t>
            </w:r>
          </w:p>
        </w:tc>
      </w:tr>
      <w:tr w:rsidR="007C4D9F" w14:paraId="7F485E78"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638FC77F" w14:textId="77777777" w:rsidR="007C4D9F" w:rsidRDefault="007C4D9F">
            <w:r>
              <w:t>ODS 13 · Acción por el clima</w:t>
            </w:r>
          </w:p>
        </w:tc>
        <w:tc>
          <w:tcPr>
            <w:tcW w:w="0" w:type="auto"/>
            <w:hideMark/>
          </w:tcPr>
          <w:p w14:paraId="1DE54302" w14:textId="77777777" w:rsidR="007C4D9F" w:rsidRDefault="007C4D9F">
            <w:pPr>
              <w:cnfStyle w:val="000000000000" w:firstRow="0" w:lastRow="0" w:firstColumn="0" w:lastColumn="0" w:oddVBand="0" w:evenVBand="0" w:oddHBand="0" w:evenHBand="0" w:firstRowFirstColumn="0" w:firstRowLastColumn="0" w:lastRowFirstColumn="0" w:lastRowLastColumn="0"/>
            </w:pPr>
            <w:r>
              <w:t>Corredor del Ozama, sensores de alerta, reducción de emisiones</w:t>
            </w:r>
          </w:p>
        </w:tc>
      </w:tr>
      <w:tr w:rsidR="007C4D9F" w14:paraId="6680D327"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D0B05" w14:textId="77777777" w:rsidR="007C4D9F" w:rsidRDefault="007C4D9F">
            <w:r>
              <w:t>ODS 16 · Instituciones sólidas</w:t>
            </w:r>
          </w:p>
        </w:tc>
        <w:tc>
          <w:tcPr>
            <w:tcW w:w="0" w:type="auto"/>
            <w:hideMark/>
          </w:tcPr>
          <w:p w14:paraId="0A7C882D" w14:textId="77777777" w:rsidR="007C4D9F" w:rsidRDefault="007C4D9F">
            <w:pPr>
              <w:cnfStyle w:val="000000100000" w:firstRow="0" w:lastRow="0" w:firstColumn="0" w:lastColumn="0" w:oddVBand="0" w:evenVBand="0" w:oddHBand="1" w:evenHBand="0" w:firstRowFirstColumn="0" w:firstRowLastColumn="0" w:lastRowFirstColumn="0" w:lastRowLastColumn="0"/>
            </w:pPr>
            <w:r>
              <w:t>Gobierno digital, blockchain, modernización de los tres poderes</w:t>
            </w:r>
          </w:p>
        </w:tc>
      </w:tr>
      <w:tr w:rsidR="007C4D9F" w14:paraId="483F72AD"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773170D5" w14:textId="77777777" w:rsidR="007C4D9F" w:rsidRDefault="007C4D9F">
            <w:r>
              <w:t>ODS 17 · Alianzas para los objetivos</w:t>
            </w:r>
          </w:p>
        </w:tc>
        <w:tc>
          <w:tcPr>
            <w:tcW w:w="0" w:type="auto"/>
            <w:hideMark/>
          </w:tcPr>
          <w:p w14:paraId="3EC28A46" w14:textId="77777777" w:rsidR="007C4D9F" w:rsidRDefault="007C4D9F">
            <w:pPr>
              <w:cnfStyle w:val="000000000000" w:firstRow="0" w:lastRow="0" w:firstColumn="0" w:lastColumn="0" w:oddVBand="0" w:evenVBand="0" w:oddHBand="0" w:evenHBand="0" w:firstRowFirstColumn="0" w:firstRowLastColumn="0" w:lastRowFirstColumn="0" w:lastRowLastColumn="0"/>
            </w:pPr>
            <w:r>
              <w:t>BID, Banco Mundial, AFD, APP Ley 47-20</w:t>
            </w:r>
          </w:p>
        </w:tc>
      </w:tr>
    </w:tbl>
    <w:p w14:paraId="5AFD3D8A" w14:textId="77777777" w:rsidR="001B7A22" w:rsidRDefault="007C4D9F" w:rsidP="007C4D9F">
      <w:pPr>
        <w:pStyle w:val="font-claude-response-body"/>
      </w:pPr>
      <w:r>
        <w:rPr>
          <w:rStyle w:val="Fuerte"/>
        </w:rPr>
        <w:t>Coherencia con la Ley 1-12 — Estrategia Nacional de Desarrollo 2030</w:t>
      </w:r>
      <w:r>
        <w:t xml:space="preserve"> </w:t>
      </w:r>
    </w:p>
    <w:p w14:paraId="451F291E" w14:textId="4114EE0D" w:rsidR="007C4D9F" w:rsidRDefault="007C4D9F" w:rsidP="007C4D9F">
      <w:pPr>
        <w:pStyle w:val="font-claude-response-body"/>
      </w:pPr>
      <w:r>
        <w:t>Cada componente de Santo Domingo 2036 está alineado con metas específicas de la END que aún no se han cumplido. La propuesta no contradice la estrategia nacional: la profundiza y le da forma concreta. Los cuatro ejes de la END —Estado eficiente, economía competitiva, infraestructura territorial y sociedad cohesionada— están presentes en cada decisión de diseño de esta propuesta.</w:t>
      </w:r>
    </w:p>
    <w:p w14:paraId="57794EAC" w14:textId="77777777" w:rsidR="007C4D9F" w:rsidRDefault="007C4D9F" w:rsidP="007C4D9F">
      <w:pPr>
        <w:pStyle w:val="font-claude-response-body"/>
      </w:pPr>
      <w:r>
        <w:rPr>
          <w:rStyle w:val="Fuerte"/>
        </w:rPr>
        <w:t>Viabilidad jurídica — 12 leyes vigentes, ninguna reforma requerida</w:t>
      </w:r>
    </w:p>
    <w:tbl>
      <w:tblPr>
        <w:tblStyle w:val="Tablaconcuadrcula4-nfasis1"/>
        <w:tblW w:w="0" w:type="auto"/>
        <w:tblLook w:val="04A0" w:firstRow="1" w:lastRow="0" w:firstColumn="1" w:lastColumn="0" w:noHBand="0" w:noVBand="1"/>
      </w:tblPr>
      <w:tblGrid>
        <w:gridCol w:w="1342"/>
        <w:gridCol w:w="4044"/>
      </w:tblGrid>
      <w:tr w:rsidR="007C4D9F" w14:paraId="6BECE61D" w14:textId="77777777" w:rsidTr="007C4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BF01A" w14:textId="77777777" w:rsidR="007C4D9F" w:rsidRDefault="007C4D9F">
            <w:pPr>
              <w:jc w:val="center"/>
            </w:pPr>
            <w:r>
              <w:rPr>
                <w:b w:val="0"/>
                <w:bCs w:val="0"/>
              </w:rPr>
              <w:t>Ley</w:t>
            </w:r>
          </w:p>
        </w:tc>
        <w:tc>
          <w:tcPr>
            <w:tcW w:w="0" w:type="auto"/>
            <w:hideMark/>
          </w:tcPr>
          <w:p w14:paraId="21C70A8F" w14:textId="77777777" w:rsidR="007C4D9F" w:rsidRDefault="007C4D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Contenido</w:t>
            </w:r>
          </w:p>
        </w:tc>
      </w:tr>
      <w:tr w:rsidR="007C4D9F" w14:paraId="1059228F"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4E263" w14:textId="77777777" w:rsidR="007C4D9F" w:rsidRDefault="007C4D9F">
            <w:pPr>
              <w:rPr>
                <w:b w:val="0"/>
                <w:bCs w:val="0"/>
              </w:rPr>
            </w:pPr>
            <w:r>
              <w:t>Ley 1-12</w:t>
            </w:r>
          </w:p>
        </w:tc>
        <w:tc>
          <w:tcPr>
            <w:tcW w:w="0" w:type="auto"/>
            <w:hideMark/>
          </w:tcPr>
          <w:p w14:paraId="3FADF9E8" w14:textId="77777777" w:rsidR="007C4D9F" w:rsidRDefault="007C4D9F">
            <w:pPr>
              <w:cnfStyle w:val="000000100000" w:firstRow="0" w:lastRow="0" w:firstColumn="0" w:lastColumn="0" w:oddVBand="0" w:evenVBand="0" w:oddHBand="1" w:evenHBand="0" w:firstRowFirstColumn="0" w:firstRowLastColumn="0" w:lastRowFirstColumn="0" w:lastRowLastColumn="0"/>
            </w:pPr>
            <w:r>
              <w:t>Estrategia Nacional de Desarrollo 2030</w:t>
            </w:r>
          </w:p>
        </w:tc>
      </w:tr>
      <w:tr w:rsidR="007C4D9F" w14:paraId="1CD05CFA"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468F834B" w14:textId="77777777" w:rsidR="007C4D9F" w:rsidRDefault="007C4D9F">
            <w:r>
              <w:t>Ley 47-20</w:t>
            </w:r>
          </w:p>
        </w:tc>
        <w:tc>
          <w:tcPr>
            <w:tcW w:w="0" w:type="auto"/>
            <w:hideMark/>
          </w:tcPr>
          <w:p w14:paraId="0AACA8B2" w14:textId="77777777" w:rsidR="007C4D9F" w:rsidRDefault="007C4D9F">
            <w:pPr>
              <w:cnfStyle w:val="000000000000" w:firstRow="0" w:lastRow="0" w:firstColumn="0" w:lastColumn="0" w:oddVBand="0" w:evenVBand="0" w:oddHBand="0" w:evenHBand="0" w:firstRowFirstColumn="0" w:firstRowLastColumn="0" w:lastRowFirstColumn="0" w:lastRowLastColumn="0"/>
            </w:pPr>
            <w:r>
              <w:t>Alianzas Público-Privadas</w:t>
            </w:r>
          </w:p>
        </w:tc>
      </w:tr>
      <w:tr w:rsidR="007C4D9F" w14:paraId="51DCB617"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BB206" w14:textId="77777777" w:rsidR="007C4D9F" w:rsidRDefault="007C4D9F">
            <w:r>
              <w:t>Ley 53-07</w:t>
            </w:r>
          </w:p>
        </w:tc>
        <w:tc>
          <w:tcPr>
            <w:tcW w:w="0" w:type="auto"/>
            <w:hideMark/>
          </w:tcPr>
          <w:p w14:paraId="0A39436F" w14:textId="77777777" w:rsidR="007C4D9F" w:rsidRDefault="007C4D9F">
            <w:pPr>
              <w:cnfStyle w:val="000000100000" w:firstRow="0" w:lastRow="0" w:firstColumn="0" w:lastColumn="0" w:oddVBand="0" w:evenVBand="0" w:oddHBand="1" w:evenHBand="0" w:firstRowFirstColumn="0" w:firstRowLastColumn="0" w:lastRowFirstColumn="0" w:lastRowLastColumn="0"/>
            </w:pPr>
            <w:r>
              <w:t>Crímenes y delitos tecnológicos</w:t>
            </w:r>
          </w:p>
        </w:tc>
      </w:tr>
      <w:tr w:rsidR="007C4D9F" w14:paraId="17A48AE7"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1B42819D" w14:textId="77777777" w:rsidR="007C4D9F" w:rsidRDefault="007C4D9F">
            <w:r>
              <w:t>Ley 57-07</w:t>
            </w:r>
          </w:p>
        </w:tc>
        <w:tc>
          <w:tcPr>
            <w:tcW w:w="0" w:type="auto"/>
            <w:hideMark/>
          </w:tcPr>
          <w:p w14:paraId="61731975" w14:textId="77777777" w:rsidR="007C4D9F" w:rsidRDefault="007C4D9F">
            <w:pPr>
              <w:cnfStyle w:val="000000000000" w:firstRow="0" w:lastRow="0" w:firstColumn="0" w:lastColumn="0" w:oddVBand="0" w:evenVBand="0" w:oddHBand="0" w:evenHBand="0" w:firstRowFirstColumn="0" w:firstRowLastColumn="0" w:lastRowFirstColumn="0" w:lastRowLastColumn="0"/>
            </w:pPr>
            <w:r>
              <w:t>Energías renovables</w:t>
            </w:r>
          </w:p>
        </w:tc>
      </w:tr>
      <w:tr w:rsidR="007C4D9F" w14:paraId="23F6153E"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17AE4" w14:textId="77777777" w:rsidR="007C4D9F" w:rsidRDefault="007C4D9F">
            <w:r>
              <w:t>Ley 63-17</w:t>
            </w:r>
          </w:p>
        </w:tc>
        <w:tc>
          <w:tcPr>
            <w:tcW w:w="0" w:type="auto"/>
            <w:hideMark/>
          </w:tcPr>
          <w:p w14:paraId="02842E6F" w14:textId="77777777" w:rsidR="007C4D9F" w:rsidRDefault="007C4D9F">
            <w:pPr>
              <w:cnfStyle w:val="000000100000" w:firstRow="0" w:lastRow="0" w:firstColumn="0" w:lastColumn="0" w:oddVBand="0" w:evenVBand="0" w:oddHBand="1" w:evenHBand="0" w:firstRowFirstColumn="0" w:firstRowLastColumn="0" w:lastRowFirstColumn="0" w:lastRowLastColumn="0"/>
            </w:pPr>
            <w:r>
              <w:t>Movilidad y tránsito</w:t>
            </w:r>
          </w:p>
        </w:tc>
      </w:tr>
      <w:tr w:rsidR="007C4D9F" w14:paraId="3C2C9073"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3299B8DA" w14:textId="77777777" w:rsidR="007C4D9F" w:rsidRDefault="007C4D9F">
            <w:r>
              <w:t>Ley 103-13</w:t>
            </w:r>
          </w:p>
        </w:tc>
        <w:tc>
          <w:tcPr>
            <w:tcW w:w="0" w:type="auto"/>
            <w:hideMark/>
          </w:tcPr>
          <w:p w14:paraId="4E555F0F" w14:textId="77777777" w:rsidR="007C4D9F" w:rsidRDefault="007C4D9F">
            <w:pPr>
              <w:cnfStyle w:val="000000000000" w:firstRow="0" w:lastRow="0" w:firstColumn="0" w:lastColumn="0" w:oddVBand="0" w:evenVBand="0" w:oddHBand="0" w:evenHBand="0" w:firstRowFirstColumn="0" w:firstRowLastColumn="0" w:lastRowFirstColumn="0" w:lastRowLastColumn="0"/>
            </w:pPr>
            <w:r>
              <w:t>Vehículos eléctricos</w:t>
            </w:r>
          </w:p>
        </w:tc>
      </w:tr>
      <w:tr w:rsidR="007C4D9F" w14:paraId="1D0A9903"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E68FE" w14:textId="77777777" w:rsidR="007C4D9F" w:rsidRDefault="007C4D9F">
            <w:r>
              <w:t>Ley 172-13</w:t>
            </w:r>
          </w:p>
        </w:tc>
        <w:tc>
          <w:tcPr>
            <w:tcW w:w="0" w:type="auto"/>
            <w:hideMark/>
          </w:tcPr>
          <w:p w14:paraId="01FE8A41" w14:textId="77777777" w:rsidR="007C4D9F" w:rsidRDefault="007C4D9F">
            <w:pPr>
              <w:cnfStyle w:val="000000100000" w:firstRow="0" w:lastRow="0" w:firstColumn="0" w:lastColumn="0" w:oddVBand="0" w:evenVBand="0" w:oddHBand="1" w:evenHBand="0" w:firstRowFirstColumn="0" w:firstRowLastColumn="0" w:lastRowFirstColumn="0" w:lastRowLastColumn="0"/>
            </w:pPr>
            <w:r>
              <w:t>Protección de datos personales</w:t>
            </w:r>
          </w:p>
        </w:tc>
      </w:tr>
      <w:tr w:rsidR="007C4D9F" w14:paraId="02404B5E"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3A9CC0D0" w14:textId="77777777" w:rsidR="007C4D9F" w:rsidRDefault="007C4D9F">
            <w:r>
              <w:t>Ley 189-11</w:t>
            </w:r>
          </w:p>
        </w:tc>
        <w:tc>
          <w:tcPr>
            <w:tcW w:w="0" w:type="auto"/>
            <w:hideMark/>
          </w:tcPr>
          <w:p w14:paraId="2A9DC94D" w14:textId="77777777" w:rsidR="007C4D9F" w:rsidRDefault="007C4D9F">
            <w:pPr>
              <w:cnfStyle w:val="000000000000" w:firstRow="0" w:lastRow="0" w:firstColumn="0" w:lastColumn="0" w:oddVBand="0" w:evenVBand="0" w:oddHBand="0" w:evenHBand="0" w:firstRowFirstColumn="0" w:firstRowLastColumn="0" w:lastRowFirstColumn="0" w:lastRowLastColumn="0"/>
            </w:pPr>
            <w:r>
              <w:t>Mercado hipotecario y fideicomiso</w:t>
            </w:r>
          </w:p>
        </w:tc>
      </w:tr>
      <w:tr w:rsidR="007C4D9F" w14:paraId="469ABEE7"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8180E" w14:textId="77777777" w:rsidR="007C4D9F" w:rsidRDefault="007C4D9F">
            <w:r>
              <w:t>Ley 225-20</w:t>
            </w:r>
          </w:p>
        </w:tc>
        <w:tc>
          <w:tcPr>
            <w:tcW w:w="0" w:type="auto"/>
            <w:hideMark/>
          </w:tcPr>
          <w:p w14:paraId="20DFD929" w14:textId="77777777" w:rsidR="007C4D9F" w:rsidRDefault="007C4D9F">
            <w:pPr>
              <w:cnfStyle w:val="000000100000" w:firstRow="0" w:lastRow="0" w:firstColumn="0" w:lastColumn="0" w:oddVBand="0" w:evenVBand="0" w:oddHBand="1" w:evenHBand="0" w:firstRowFirstColumn="0" w:firstRowLastColumn="0" w:lastRowFirstColumn="0" w:lastRowLastColumn="0"/>
            </w:pPr>
            <w:r>
              <w:t>Residuos sólidos</w:t>
            </w:r>
          </w:p>
        </w:tc>
      </w:tr>
      <w:tr w:rsidR="007C4D9F" w14:paraId="6BB325E7"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399A88EC" w14:textId="77777777" w:rsidR="007C4D9F" w:rsidRDefault="007C4D9F">
            <w:r>
              <w:t>Ley 249-17</w:t>
            </w:r>
          </w:p>
        </w:tc>
        <w:tc>
          <w:tcPr>
            <w:tcW w:w="0" w:type="auto"/>
            <w:hideMark/>
          </w:tcPr>
          <w:p w14:paraId="788399E0" w14:textId="77777777" w:rsidR="007C4D9F" w:rsidRDefault="007C4D9F">
            <w:pPr>
              <w:cnfStyle w:val="000000000000" w:firstRow="0" w:lastRow="0" w:firstColumn="0" w:lastColumn="0" w:oddVBand="0" w:evenVBand="0" w:oddHBand="0" w:evenHBand="0" w:firstRowFirstColumn="0" w:firstRowLastColumn="0" w:lastRowFirstColumn="0" w:lastRowLastColumn="0"/>
            </w:pPr>
            <w:r>
              <w:t>Mercado de valores</w:t>
            </w:r>
          </w:p>
        </w:tc>
      </w:tr>
      <w:tr w:rsidR="007C4D9F" w14:paraId="0520AA8A"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1EE9A" w14:textId="77777777" w:rsidR="007C4D9F" w:rsidRDefault="007C4D9F">
            <w:r>
              <w:t>Ley 368-22</w:t>
            </w:r>
          </w:p>
        </w:tc>
        <w:tc>
          <w:tcPr>
            <w:tcW w:w="0" w:type="auto"/>
            <w:hideMark/>
          </w:tcPr>
          <w:p w14:paraId="74EB6222" w14:textId="77777777" w:rsidR="007C4D9F" w:rsidRDefault="007C4D9F">
            <w:pPr>
              <w:cnfStyle w:val="000000100000" w:firstRow="0" w:lastRow="0" w:firstColumn="0" w:lastColumn="0" w:oddVBand="0" w:evenVBand="0" w:oddHBand="1" w:evenHBand="0" w:firstRowFirstColumn="0" w:firstRowLastColumn="0" w:lastRowFirstColumn="0" w:lastRowLastColumn="0"/>
            </w:pPr>
            <w:r>
              <w:t>Ordenamiento territorial</w:t>
            </w:r>
          </w:p>
        </w:tc>
      </w:tr>
      <w:tr w:rsidR="007C4D9F" w14:paraId="6D7422AD"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513B3118" w14:textId="77777777" w:rsidR="007C4D9F" w:rsidRDefault="007C4D9F">
            <w:r>
              <w:t>Ley 169-16</w:t>
            </w:r>
          </w:p>
        </w:tc>
        <w:tc>
          <w:tcPr>
            <w:tcW w:w="0" w:type="auto"/>
            <w:hideMark/>
          </w:tcPr>
          <w:p w14:paraId="66D75210" w14:textId="77777777" w:rsidR="007C4D9F" w:rsidRDefault="007C4D9F">
            <w:pPr>
              <w:cnfStyle w:val="000000000000" w:firstRow="0" w:lastRow="0" w:firstColumn="0" w:lastColumn="0" w:oddVBand="0" w:evenVBand="0" w:oddHBand="0" w:evenHBand="0" w:firstRowFirstColumn="0" w:firstRowLastColumn="0" w:lastRowFirstColumn="0" w:lastRowLastColumn="0"/>
            </w:pPr>
            <w:r>
              <w:t>Régimen migratorio</w:t>
            </w:r>
          </w:p>
        </w:tc>
      </w:tr>
    </w:tbl>
    <w:p w14:paraId="5DD46943" w14:textId="77777777" w:rsidR="001B7A22" w:rsidRDefault="001B7A22" w:rsidP="007C4D9F">
      <w:pPr>
        <w:pStyle w:val="font-claude-response-body"/>
        <w:rPr>
          <w:rStyle w:val="Fuerte"/>
        </w:rPr>
      </w:pPr>
    </w:p>
    <w:p w14:paraId="2CC7388A" w14:textId="77777777" w:rsidR="001B7A22" w:rsidRDefault="001B7A22" w:rsidP="007C4D9F">
      <w:pPr>
        <w:pStyle w:val="font-claude-response-body"/>
        <w:rPr>
          <w:rStyle w:val="Fuerte"/>
        </w:rPr>
      </w:pPr>
    </w:p>
    <w:p w14:paraId="73053DF5" w14:textId="77777777" w:rsidR="001B7A22" w:rsidRDefault="001B7A22" w:rsidP="007C4D9F">
      <w:pPr>
        <w:pStyle w:val="font-claude-response-body"/>
        <w:rPr>
          <w:rStyle w:val="Fuerte"/>
        </w:rPr>
      </w:pPr>
    </w:p>
    <w:p w14:paraId="1B633226" w14:textId="71D0D195" w:rsidR="007C4D9F" w:rsidRDefault="007C4D9F" w:rsidP="007C4D9F">
      <w:pPr>
        <w:pStyle w:val="font-claude-response-body"/>
      </w:pPr>
      <w:r>
        <w:rPr>
          <w:rStyle w:val="Fuerte"/>
        </w:rPr>
        <w:lastRenderedPageBreak/>
        <w:t>Análisis institucional — Los tres poderes del Estado</w:t>
      </w:r>
    </w:p>
    <w:p w14:paraId="4787937A" w14:textId="77777777" w:rsidR="007C4D9F" w:rsidRDefault="007C4D9F" w:rsidP="007C4D9F">
      <w:pPr>
        <w:pStyle w:val="font-claude-response-body"/>
      </w:pPr>
      <w:r>
        <w:rPr>
          <w:rStyle w:val="nfasis"/>
        </w:rPr>
        <w:t>Ejecutivo:</w:t>
      </w:r>
      <w:r>
        <w:t xml:space="preserve"> Modernización mediante digitalización, presupuesto vinculado a resultados reales, evaluaciones de desempeño y mecanismos de control interno. El reto no es crear leyes nuevas, sino ejecutar las existentes con disciplina y continuidad entre gobiernos.</w:t>
      </w:r>
    </w:p>
    <w:p w14:paraId="37318796" w14:textId="77777777" w:rsidR="007C4D9F" w:rsidRDefault="007C4D9F" w:rsidP="007C4D9F">
      <w:pPr>
        <w:pStyle w:val="font-claude-response-body"/>
      </w:pPr>
      <w:r>
        <w:rPr>
          <w:rStyle w:val="nfasis"/>
        </w:rPr>
        <w:t>Judicial:</w:t>
      </w:r>
      <w:r>
        <w:t xml:space="preserve"> Se propone para 2036 un poder con mayor legitimidad democrática, menor control político en la selección de jueces y rendición de cuentas pública efectiva, reduciendo la vinculación real del sistema con intereses partidarios.</w:t>
      </w:r>
    </w:p>
    <w:p w14:paraId="022B5E49" w14:textId="77777777" w:rsidR="007C4D9F" w:rsidRDefault="007C4D9F" w:rsidP="007C4D9F">
      <w:pPr>
        <w:pStyle w:val="font-claude-response-body"/>
      </w:pPr>
      <w:r>
        <w:rPr>
          <w:rStyle w:val="nfasis"/>
        </w:rPr>
        <w:t>Legislativo:</w:t>
      </w:r>
      <w:r>
        <w:t xml:space="preserve"> Los aspirantes a cargos públicos deben evidenciar conocimiento real de las leyes antes de poder legislar y representar a sus provincias. No se puede seguir permitiendo que se creen leyes sin demostrar competencia jurídica.</w:t>
      </w:r>
    </w:p>
    <w:p w14:paraId="54CCD35C" w14:textId="77777777" w:rsidR="007C4D9F" w:rsidRDefault="007C4D9F" w:rsidP="007C4D9F">
      <w:pPr>
        <w:pStyle w:val="font-claude-response-body"/>
      </w:pPr>
      <w:r>
        <w:rPr>
          <w:rStyle w:val="Fuerte"/>
        </w:rPr>
        <w:t>Derecho comparado — Referentes internacionales</w:t>
      </w:r>
    </w:p>
    <w:tbl>
      <w:tblPr>
        <w:tblStyle w:val="Tablaconcuadrcula4-nfasis1"/>
        <w:tblW w:w="0" w:type="auto"/>
        <w:tblLook w:val="04A0" w:firstRow="1" w:lastRow="0" w:firstColumn="1" w:lastColumn="0" w:noHBand="0" w:noVBand="1"/>
      </w:tblPr>
      <w:tblGrid>
        <w:gridCol w:w="2796"/>
        <w:gridCol w:w="5732"/>
      </w:tblGrid>
      <w:tr w:rsidR="007C4D9F" w14:paraId="0CDF073A" w14:textId="77777777" w:rsidTr="007C4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55D25" w14:textId="77777777" w:rsidR="007C4D9F" w:rsidRDefault="007C4D9F">
            <w:pPr>
              <w:jc w:val="center"/>
            </w:pPr>
            <w:r>
              <w:rPr>
                <w:b w:val="0"/>
                <w:bCs w:val="0"/>
              </w:rPr>
              <w:t>Referente</w:t>
            </w:r>
          </w:p>
        </w:tc>
        <w:tc>
          <w:tcPr>
            <w:tcW w:w="0" w:type="auto"/>
            <w:hideMark/>
          </w:tcPr>
          <w:p w14:paraId="2463346D" w14:textId="77777777" w:rsidR="007C4D9F" w:rsidRDefault="007C4D9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Lección aplicable al contexto dominicano</w:t>
            </w:r>
          </w:p>
        </w:tc>
      </w:tr>
      <w:tr w:rsidR="007C4D9F" w14:paraId="09710BBE"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4F670" w14:textId="77777777" w:rsidR="007C4D9F" w:rsidRDefault="007C4D9F">
            <w:pPr>
              <w:rPr>
                <w:b w:val="0"/>
                <w:bCs w:val="0"/>
              </w:rPr>
            </w:pPr>
            <w:r>
              <w:t>Estonia</w:t>
            </w:r>
          </w:p>
        </w:tc>
        <w:tc>
          <w:tcPr>
            <w:tcW w:w="0" w:type="auto"/>
            <w:hideMark/>
          </w:tcPr>
          <w:p w14:paraId="1C0F13A3" w14:textId="77777777" w:rsidR="007C4D9F" w:rsidRDefault="007C4D9F">
            <w:pPr>
              <w:cnfStyle w:val="000000100000" w:firstRow="0" w:lastRow="0" w:firstColumn="0" w:lastColumn="0" w:oddVBand="0" w:evenVBand="0" w:oddHBand="1" w:evenHBand="0" w:firstRowFirstColumn="0" w:firstRowLastColumn="0" w:lastRowFirstColumn="0" w:lastRowLastColumn="0"/>
            </w:pPr>
            <w:r>
              <w:t>Identidad digital única, gobierno 100% en línea</w:t>
            </w:r>
          </w:p>
        </w:tc>
      </w:tr>
      <w:tr w:rsidR="007C4D9F" w14:paraId="28609502"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50DC1BFD" w14:textId="77777777" w:rsidR="007C4D9F" w:rsidRDefault="007C4D9F">
            <w:r>
              <w:t>Medellín, Colombia</w:t>
            </w:r>
          </w:p>
        </w:tc>
        <w:tc>
          <w:tcPr>
            <w:tcW w:w="0" w:type="auto"/>
            <w:hideMark/>
          </w:tcPr>
          <w:p w14:paraId="272A99F2" w14:textId="77777777" w:rsidR="007C4D9F" w:rsidRDefault="007C4D9F">
            <w:pPr>
              <w:cnfStyle w:val="000000000000" w:firstRow="0" w:lastRow="0" w:firstColumn="0" w:lastColumn="0" w:oddVBand="0" w:evenVBand="0" w:oddHBand="0" w:evenHBand="0" w:firstRowFirstColumn="0" w:firstRowLastColumn="0" w:lastRowFirstColumn="0" w:lastRowLastColumn="0"/>
            </w:pPr>
            <w:r>
              <w:t>Distrito de innovación con impacto social (Ruta N)</w:t>
            </w:r>
          </w:p>
        </w:tc>
      </w:tr>
      <w:tr w:rsidR="007C4D9F" w14:paraId="6F7220DE"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13B21" w14:textId="77777777" w:rsidR="007C4D9F" w:rsidRDefault="007C4D9F">
            <w:r>
              <w:t>Curitiba, Brasil</w:t>
            </w:r>
          </w:p>
        </w:tc>
        <w:tc>
          <w:tcPr>
            <w:tcW w:w="0" w:type="auto"/>
            <w:hideMark/>
          </w:tcPr>
          <w:p w14:paraId="0D862CD2" w14:textId="77777777" w:rsidR="007C4D9F" w:rsidRDefault="007C4D9F">
            <w:pPr>
              <w:cnfStyle w:val="000000100000" w:firstRow="0" w:lastRow="0" w:firstColumn="0" w:lastColumn="0" w:oddVBand="0" w:evenVBand="0" w:oddHBand="1" w:evenHBand="0" w:firstRowFirstColumn="0" w:firstRowLastColumn="0" w:lastRowFirstColumn="0" w:lastRowLastColumn="0"/>
            </w:pPr>
            <w:r>
              <w:t>Sistema BRT integrado y planificación urbana sostenible</w:t>
            </w:r>
          </w:p>
        </w:tc>
      </w:tr>
      <w:tr w:rsidR="007C4D9F" w14:paraId="79984FC5" w14:textId="77777777" w:rsidTr="007C4D9F">
        <w:tc>
          <w:tcPr>
            <w:cnfStyle w:val="001000000000" w:firstRow="0" w:lastRow="0" w:firstColumn="1" w:lastColumn="0" w:oddVBand="0" w:evenVBand="0" w:oddHBand="0" w:evenHBand="0" w:firstRowFirstColumn="0" w:firstRowLastColumn="0" w:lastRowFirstColumn="0" w:lastRowLastColumn="0"/>
            <w:tcW w:w="0" w:type="auto"/>
            <w:hideMark/>
          </w:tcPr>
          <w:p w14:paraId="0863E7C7" w14:textId="77777777" w:rsidR="007C4D9F" w:rsidRDefault="007C4D9F">
            <w:r>
              <w:t>Rotterdam, Países Bajos</w:t>
            </w:r>
          </w:p>
        </w:tc>
        <w:tc>
          <w:tcPr>
            <w:tcW w:w="0" w:type="auto"/>
            <w:hideMark/>
          </w:tcPr>
          <w:p w14:paraId="7BBF6BD2" w14:textId="77777777" w:rsidR="007C4D9F" w:rsidRDefault="007C4D9F">
            <w:pPr>
              <w:cnfStyle w:val="000000000000" w:firstRow="0" w:lastRow="0" w:firstColumn="0" w:lastColumn="0" w:oddVBand="0" w:evenVBand="0" w:oddHBand="0" w:evenHBand="0" w:firstRowFirstColumn="0" w:firstRowLastColumn="0" w:lastRowFirstColumn="0" w:lastRowLastColumn="0"/>
            </w:pPr>
            <w:r>
              <w:t>Resiliencia climática urbana frente a inundaciones</w:t>
            </w:r>
          </w:p>
        </w:tc>
      </w:tr>
      <w:tr w:rsidR="007C4D9F" w14:paraId="6BA9FC0B" w14:textId="77777777" w:rsidTr="007C4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93BC4" w14:textId="77777777" w:rsidR="007C4D9F" w:rsidRDefault="007C4D9F">
            <w:r>
              <w:t>Singapur</w:t>
            </w:r>
          </w:p>
        </w:tc>
        <w:tc>
          <w:tcPr>
            <w:tcW w:w="0" w:type="auto"/>
            <w:hideMark/>
          </w:tcPr>
          <w:p w14:paraId="25B6AA24" w14:textId="77777777" w:rsidR="007C4D9F" w:rsidRDefault="007C4D9F">
            <w:pPr>
              <w:cnfStyle w:val="000000100000" w:firstRow="0" w:lastRow="0" w:firstColumn="0" w:lastColumn="0" w:oddVBand="0" w:evenVBand="0" w:oddHBand="1" w:evenHBand="0" w:firstRowFirstColumn="0" w:firstRowLastColumn="0" w:lastRowFirstColumn="0" w:lastRowLastColumn="0"/>
            </w:pPr>
            <w:r>
              <w:t>Smart Nation y gemelo digital de ciudad</w:t>
            </w:r>
          </w:p>
        </w:tc>
      </w:tr>
    </w:tbl>
    <w:p w14:paraId="73373172" w14:textId="77777777" w:rsidR="007C4D9F" w:rsidRDefault="007C4D9F" w:rsidP="007C4D9F">
      <w:pPr>
        <w:pStyle w:val="font-claude-response-body"/>
      </w:pPr>
      <w:r>
        <w:rPr>
          <w:rStyle w:val="Fuerte"/>
        </w:rPr>
        <w:t>Propuestas de adecuación normativa</w:t>
      </w:r>
      <w:r>
        <w:t xml:space="preserve"> Aunque no se requieren reformas de fondo, la propuesta identifica tres áreas donde se recomienda modernización normativa progresiva: regulación de datos urbanos y algoritmos públicos, marco específico para ciudades inteligentes y mecanismos de gobernanza participativa digital con vinculación legal.</w:t>
      </w:r>
    </w:p>
    <w:p w14:paraId="0B3AFC9C" w14:textId="77777777" w:rsidR="001B7A22" w:rsidRDefault="001B7A22" w:rsidP="007C4D9F">
      <w:pPr>
        <w:pStyle w:val="font-claude-response-body"/>
      </w:pPr>
    </w:p>
    <w:p w14:paraId="11034935" w14:textId="77777777" w:rsidR="001B7A22" w:rsidRDefault="001B7A22" w:rsidP="007C4D9F">
      <w:pPr>
        <w:pStyle w:val="font-claude-response-body"/>
      </w:pPr>
    </w:p>
    <w:p w14:paraId="0FF1B6F3" w14:textId="77777777" w:rsidR="001B7A22" w:rsidRDefault="001B7A22" w:rsidP="007C4D9F">
      <w:pPr>
        <w:pStyle w:val="font-claude-response-body"/>
      </w:pPr>
    </w:p>
    <w:p w14:paraId="387E0418" w14:textId="77777777" w:rsidR="001B7A22" w:rsidRDefault="001B7A22" w:rsidP="007C4D9F">
      <w:pPr>
        <w:pStyle w:val="font-claude-response-body"/>
      </w:pPr>
    </w:p>
    <w:p w14:paraId="1087E628" w14:textId="77777777" w:rsidR="001B7A22" w:rsidRDefault="001B7A22" w:rsidP="007C4D9F">
      <w:pPr>
        <w:pStyle w:val="font-claude-response-body"/>
      </w:pPr>
    </w:p>
    <w:p w14:paraId="671E907F" w14:textId="77777777" w:rsidR="001B7A22" w:rsidRDefault="001B7A22" w:rsidP="007C4D9F">
      <w:pPr>
        <w:pStyle w:val="font-claude-response-body"/>
      </w:pPr>
    </w:p>
    <w:p w14:paraId="022A46A7" w14:textId="77777777" w:rsidR="001B7A22" w:rsidRDefault="001B7A22" w:rsidP="007C4D9F">
      <w:pPr>
        <w:pStyle w:val="font-claude-response-body"/>
      </w:pPr>
    </w:p>
    <w:p w14:paraId="07C51D44" w14:textId="77777777" w:rsidR="001B7A22" w:rsidRDefault="001B7A22" w:rsidP="007C4D9F">
      <w:pPr>
        <w:pStyle w:val="font-claude-response-body"/>
      </w:pPr>
    </w:p>
    <w:p w14:paraId="159ABE43" w14:textId="77777777" w:rsidR="001B7A22" w:rsidRDefault="001B7A22" w:rsidP="007C4D9F">
      <w:pPr>
        <w:pStyle w:val="font-claude-response-body"/>
      </w:pPr>
    </w:p>
    <w:p w14:paraId="0E45756C" w14:textId="77777777" w:rsidR="00B901B2" w:rsidRDefault="00B901B2" w:rsidP="00B901B2">
      <w:pPr>
        <w:pStyle w:val="Ttulo2"/>
      </w:pPr>
      <w:bookmarkStart w:id="9" w:name="_Toc228954052"/>
      <w:r>
        <w:lastRenderedPageBreak/>
        <w:t>Pilar 5: Pitch, Comunicación y Ventas</w:t>
      </w:r>
      <w:bookmarkEnd w:id="9"/>
    </w:p>
    <w:p w14:paraId="19B65E78" w14:textId="77777777" w:rsidR="00B901B2" w:rsidRDefault="00B901B2" w:rsidP="00B901B2">
      <w:pPr>
        <w:pStyle w:val="font-claude-response-body"/>
      </w:pPr>
      <w:r>
        <w:rPr>
          <w:rStyle w:val="Fuerte"/>
        </w:rPr>
        <w:t>Ventaja competitiva y escalabilidad del modelo</w:t>
      </w:r>
      <w:r>
        <w:t xml:space="preserve"> Santo Domingo 2036 no compite con utopías, compite con la inacción. Es la única propuesta que combina continuidad de proyectos ya iniciados, financiamiento recuperable dentro del propio horizonte, marco legal vigente y tecnología probada en contexto dominicano. Si funciona en Santo Domingo, el modelo es replicable en Santiago, La Romana y cualquier polo urbano del país.</w:t>
      </w:r>
    </w:p>
    <w:p w14:paraId="0452D7D9" w14:textId="77777777" w:rsidR="00B901B2" w:rsidRDefault="00B901B2" w:rsidP="00B901B2">
      <w:pPr>
        <w:pStyle w:val="font-claude-response-body"/>
      </w:pPr>
      <w:r>
        <w:rPr>
          <w:rStyle w:val="Fuerte"/>
        </w:rPr>
        <w:t>Propuesta de valor diferenciada</w:t>
      </w:r>
    </w:p>
    <w:p w14:paraId="792F406C" w14:textId="77777777" w:rsidR="00B901B2" w:rsidRDefault="00B901B2" w:rsidP="00B901B2">
      <w:pPr>
        <w:pStyle w:val="whitespace-normal"/>
        <w:numPr>
          <w:ilvl w:val="0"/>
          <w:numId w:val="13"/>
        </w:numPr>
      </w:pPr>
      <w:r>
        <w:t>Visión integrada: los tres ejes se sostienen entre sí, ninguno funciona en aislamiento</w:t>
      </w:r>
    </w:p>
    <w:p w14:paraId="24C76FF7" w14:textId="77777777" w:rsidR="00B901B2" w:rsidRDefault="00B901B2" w:rsidP="00B901B2">
      <w:pPr>
        <w:pStyle w:val="whitespace-normal"/>
        <w:numPr>
          <w:ilvl w:val="0"/>
          <w:numId w:val="13"/>
        </w:numPr>
      </w:pPr>
      <w:r>
        <w:t>Siete fuentes de ingresos propios que garantizan no depender permanentemente del presupuesto estatal</w:t>
      </w:r>
    </w:p>
    <w:p w14:paraId="121F0C75" w14:textId="77777777" w:rsidR="00B901B2" w:rsidRDefault="00B901B2" w:rsidP="00B901B2">
      <w:pPr>
        <w:pStyle w:val="whitespace-normal"/>
        <w:numPr>
          <w:ilvl w:val="0"/>
          <w:numId w:val="13"/>
        </w:numPr>
      </w:pPr>
      <w:r>
        <w:t>Evidencia local real: Actuana Academy como prueba de concepto con más de 1,200 estudiantes</w:t>
      </w:r>
    </w:p>
    <w:p w14:paraId="5E4E02C5" w14:textId="58F4790B" w:rsidR="00B901B2" w:rsidRDefault="00B901B2" w:rsidP="00B901B2">
      <w:pPr>
        <w:pStyle w:val="whitespace-normal"/>
        <w:numPr>
          <w:ilvl w:val="0"/>
          <w:numId w:val="13"/>
        </w:numPr>
      </w:pPr>
      <w:r>
        <w:t>Blindaje ético y legal desde el diseño, no como añadido posterior</w:t>
      </w:r>
    </w:p>
    <w:p w14:paraId="0D881A36" w14:textId="77777777" w:rsidR="00B901B2" w:rsidRDefault="00B901B2" w:rsidP="00B901B2">
      <w:pPr>
        <w:pStyle w:val="font-claude-response-body"/>
      </w:pPr>
      <w:r>
        <w:rPr>
          <w:rStyle w:val="Fuerte"/>
        </w:rPr>
        <w:t>Modelo de negocio escalable</w:t>
      </w:r>
    </w:p>
    <w:tbl>
      <w:tblPr>
        <w:tblStyle w:val="Tablaconcuadrcula4-nfasis1"/>
        <w:tblW w:w="0" w:type="auto"/>
        <w:tblLook w:val="04A0" w:firstRow="1" w:lastRow="0" w:firstColumn="1" w:lastColumn="0" w:noHBand="0" w:noVBand="1"/>
      </w:tblPr>
      <w:tblGrid>
        <w:gridCol w:w="2748"/>
        <w:gridCol w:w="6246"/>
      </w:tblGrid>
      <w:tr w:rsidR="00B901B2" w14:paraId="50992B43" w14:textId="77777777" w:rsidTr="00B90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23CB8" w14:textId="77777777" w:rsidR="00B901B2" w:rsidRDefault="00B901B2">
            <w:pPr>
              <w:jc w:val="center"/>
            </w:pPr>
            <w:r>
              <w:rPr>
                <w:b w:val="0"/>
                <w:bCs w:val="0"/>
              </w:rPr>
              <w:t>Fuente de ingreso</w:t>
            </w:r>
          </w:p>
        </w:tc>
        <w:tc>
          <w:tcPr>
            <w:tcW w:w="0" w:type="auto"/>
            <w:hideMark/>
          </w:tcPr>
          <w:p w14:paraId="08C0340A" w14:textId="77777777" w:rsidR="00B901B2" w:rsidRDefault="00B901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Mecanismo de generación</w:t>
            </w:r>
          </w:p>
        </w:tc>
      </w:tr>
      <w:tr w:rsidR="00B901B2" w14:paraId="567CD5B1"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D9C0F" w14:textId="77777777" w:rsidR="00B901B2" w:rsidRDefault="00B901B2">
            <w:pPr>
              <w:rPr>
                <w:b w:val="0"/>
                <w:bCs w:val="0"/>
              </w:rPr>
            </w:pPr>
            <w:r>
              <w:t>Plusvalía urbana</w:t>
            </w:r>
          </w:p>
        </w:tc>
        <w:tc>
          <w:tcPr>
            <w:tcW w:w="0" w:type="auto"/>
            <w:hideMark/>
          </w:tcPr>
          <w:p w14:paraId="4DF8A272" w14:textId="77777777" w:rsidR="00B901B2" w:rsidRDefault="00B901B2">
            <w:pPr>
              <w:cnfStyle w:val="000000100000" w:firstRow="0" w:lastRow="0" w:firstColumn="0" w:lastColumn="0" w:oddVBand="0" w:evenVBand="0" w:oddHBand="1" w:evenHBand="0" w:firstRowFirstColumn="0" w:firstRowLastColumn="0" w:lastRowFirstColumn="0" w:lastRowLastColumn="0"/>
            </w:pPr>
            <w:r>
              <w:t>Valorización de propiedades cerca de nuevas líneas de Metro</w:t>
            </w:r>
          </w:p>
        </w:tc>
      </w:tr>
      <w:tr w:rsidR="00B901B2" w14:paraId="13E6F388" w14:textId="77777777" w:rsidTr="00B901B2">
        <w:tc>
          <w:tcPr>
            <w:cnfStyle w:val="001000000000" w:firstRow="0" w:lastRow="0" w:firstColumn="1" w:lastColumn="0" w:oddVBand="0" w:evenVBand="0" w:oddHBand="0" w:evenHBand="0" w:firstRowFirstColumn="0" w:firstRowLastColumn="0" w:lastRowFirstColumn="0" w:lastRowLastColumn="0"/>
            <w:tcW w:w="0" w:type="auto"/>
            <w:hideMark/>
          </w:tcPr>
          <w:p w14:paraId="0E1EBED2" w14:textId="77777777" w:rsidR="00B901B2" w:rsidRDefault="00B901B2">
            <w:r>
              <w:t>Tarifa integrada</w:t>
            </w:r>
          </w:p>
        </w:tc>
        <w:tc>
          <w:tcPr>
            <w:tcW w:w="0" w:type="auto"/>
            <w:hideMark/>
          </w:tcPr>
          <w:p w14:paraId="4C8B37C2" w14:textId="77777777" w:rsidR="00B901B2" w:rsidRDefault="00B901B2">
            <w:pPr>
              <w:cnfStyle w:val="000000000000" w:firstRow="0" w:lastRow="0" w:firstColumn="0" w:lastColumn="0" w:oddVBand="0" w:evenVBand="0" w:oddHBand="0" w:evenHBand="0" w:firstRowFirstColumn="0" w:firstRowLastColumn="0" w:lastRowFirstColumn="0" w:lastRowLastColumn="0"/>
            </w:pPr>
            <w:r>
              <w:t>Cientos de miles de viajes diarios en sistema unificado</w:t>
            </w:r>
          </w:p>
        </w:tc>
      </w:tr>
      <w:tr w:rsidR="00B901B2" w14:paraId="2BC1193C"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96B05" w14:textId="77777777" w:rsidR="00B901B2" w:rsidRDefault="00B901B2">
            <w:r>
              <w:t>Datos urbanos premium</w:t>
            </w:r>
          </w:p>
        </w:tc>
        <w:tc>
          <w:tcPr>
            <w:tcW w:w="0" w:type="auto"/>
            <w:hideMark/>
          </w:tcPr>
          <w:p w14:paraId="502B64A6" w14:textId="77777777" w:rsidR="00B901B2" w:rsidRDefault="00B901B2">
            <w:pPr>
              <w:cnfStyle w:val="000000100000" w:firstRow="0" w:lastRow="0" w:firstColumn="0" w:lastColumn="0" w:oddVBand="0" w:evenVBand="0" w:oddHBand="1" w:evenHBand="0" w:firstRowFirstColumn="0" w:firstRowLastColumn="0" w:lastRowFirstColumn="0" w:lastRowLastColumn="0"/>
            </w:pPr>
            <w:r>
              <w:t>Venta de analítica a empresas privadas</w:t>
            </w:r>
          </w:p>
        </w:tc>
      </w:tr>
      <w:tr w:rsidR="00B901B2" w14:paraId="509CC855" w14:textId="77777777" w:rsidTr="00B901B2">
        <w:tc>
          <w:tcPr>
            <w:cnfStyle w:val="001000000000" w:firstRow="0" w:lastRow="0" w:firstColumn="1" w:lastColumn="0" w:oddVBand="0" w:evenVBand="0" w:oddHBand="0" w:evenHBand="0" w:firstRowFirstColumn="0" w:firstRowLastColumn="0" w:lastRowFirstColumn="0" w:lastRowLastColumn="0"/>
            <w:tcW w:w="0" w:type="auto"/>
            <w:hideMark/>
          </w:tcPr>
          <w:p w14:paraId="29F1DFFA" w14:textId="77777777" w:rsidR="00B901B2" w:rsidRDefault="00B901B2">
            <w:r>
              <w:t>Energía solar excedente</w:t>
            </w:r>
          </w:p>
        </w:tc>
        <w:tc>
          <w:tcPr>
            <w:tcW w:w="0" w:type="auto"/>
            <w:hideMark/>
          </w:tcPr>
          <w:p w14:paraId="3F2A30BE" w14:textId="77777777" w:rsidR="00B901B2" w:rsidRDefault="00B901B2">
            <w:pPr>
              <w:cnfStyle w:val="000000000000" w:firstRow="0" w:lastRow="0" w:firstColumn="0" w:lastColumn="0" w:oddVBand="0" w:evenVBand="0" w:oddHBand="0" w:evenHBand="0" w:firstRowFirstColumn="0" w:firstRowLastColumn="0" w:lastRowFirstColumn="0" w:lastRowLastColumn="0"/>
            </w:pPr>
            <w:r>
              <w:t>Venta a la red desde edificios y estaciones</w:t>
            </w:r>
          </w:p>
        </w:tc>
      </w:tr>
      <w:tr w:rsidR="00B901B2" w14:paraId="4A6390B8"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E4085" w14:textId="77777777" w:rsidR="00B901B2" w:rsidRDefault="00B901B2">
            <w:r>
              <w:t>Turismo premium</w:t>
            </w:r>
          </w:p>
        </w:tc>
        <w:tc>
          <w:tcPr>
            <w:tcW w:w="0" w:type="auto"/>
            <w:hideMark/>
          </w:tcPr>
          <w:p w14:paraId="02BDE76A" w14:textId="77777777" w:rsidR="00B901B2" w:rsidRDefault="00B901B2">
            <w:pPr>
              <w:cnfStyle w:val="000000100000" w:firstRow="0" w:lastRow="0" w:firstColumn="0" w:lastColumn="0" w:oddVBand="0" w:evenVBand="0" w:oddHBand="1" w:evenHBand="0" w:firstRowFirstColumn="0" w:firstRowLastColumn="0" w:lastRowFirstColumn="0" w:lastRowLastColumn="0"/>
            </w:pPr>
            <w:r>
              <w:t>Distrito Histórico-Tecnológico como destino internacional</w:t>
            </w:r>
          </w:p>
        </w:tc>
      </w:tr>
      <w:tr w:rsidR="00B901B2" w14:paraId="5EA3E366" w14:textId="77777777" w:rsidTr="00B901B2">
        <w:tc>
          <w:tcPr>
            <w:cnfStyle w:val="001000000000" w:firstRow="0" w:lastRow="0" w:firstColumn="1" w:lastColumn="0" w:oddVBand="0" w:evenVBand="0" w:oddHBand="0" w:evenHBand="0" w:firstRowFirstColumn="0" w:firstRowLastColumn="0" w:lastRowFirstColumn="0" w:lastRowLastColumn="0"/>
            <w:tcW w:w="0" w:type="auto"/>
            <w:hideMark/>
          </w:tcPr>
          <w:p w14:paraId="68B3BA0F" w14:textId="77777777" w:rsidR="00B901B2" w:rsidRDefault="00B901B2">
            <w:r>
              <w:t>Hub de Innovación</w:t>
            </w:r>
          </w:p>
        </w:tc>
        <w:tc>
          <w:tcPr>
            <w:tcW w:w="0" w:type="auto"/>
            <w:hideMark/>
          </w:tcPr>
          <w:p w14:paraId="51F5D2C6" w14:textId="77777777" w:rsidR="00B901B2" w:rsidRDefault="00B901B2">
            <w:pPr>
              <w:cnfStyle w:val="000000000000" w:firstRow="0" w:lastRow="0" w:firstColumn="0" w:lastColumn="0" w:oddVBand="0" w:evenVBand="0" w:oddHBand="0" w:evenHBand="0" w:firstRowFirstColumn="0" w:firstRowLastColumn="0" w:lastRowFirstColumn="0" w:lastRowLastColumn="0"/>
            </w:pPr>
            <w:r>
              <w:t>Renta de espacios para startups y aceleradoras</w:t>
            </w:r>
          </w:p>
        </w:tc>
      </w:tr>
      <w:tr w:rsidR="00B901B2" w14:paraId="052B4794"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7A85B" w14:textId="77777777" w:rsidR="00B901B2" w:rsidRDefault="00B901B2">
            <w:r>
              <w:t>Bonos verdes</w:t>
            </w:r>
          </w:p>
        </w:tc>
        <w:tc>
          <w:tcPr>
            <w:tcW w:w="0" w:type="auto"/>
            <w:hideMark/>
          </w:tcPr>
          <w:p w14:paraId="4DE27EE7" w14:textId="77777777" w:rsidR="00B901B2" w:rsidRDefault="00B901B2">
            <w:pPr>
              <w:cnfStyle w:val="000000100000" w:firstRow="0" w:lastRow="0" w:firstColumn="0" w:lastColumn="0" w:oddVBand="0" w:evenVBand="0" w:oddHBand="1" w:evenHBand="0" w:firstRowFirstColumn="0" w:firstRowLastColumn="0" w:lastRowFirstColumn="0" w:lastRowLastColumn="0"/>
            </w:pPr>
            <w:r>
              <w:t>Emisión bajo Ley 249-17 para inversión institucional</w:t>
            </w:r>
          </w:p>
        </w:tc>
      </w:tr>
    </w:tbl>
    <w:p w14:paraId="68659C34" w14:textId="77777777" w:rsidR="00B901B2" w:rsidRDefault="00B901B2" w:rsidP="00B901B2">
      <w:pPr>
        <w:pStyle w:val="font-claude-response-body"/>
      </w:pPr>
      <w:r>
        <w:rPr>
          <w:rStyle w:val="Fuerte"/>
        </w:rPr>
        <w:t>Calidad del pitch — Comunicación visual y síntesis</w:t>
      </w:r>
      <w:r>
        <w:t xml:space="preserve"> Esta propuesta comunica una visión compleja de manera directa y convincente. No es un catálogo de buenas intenciones; es un plan con cifras reales, leyes identificadas, cronograma por fases y riesgos mitigados. Cada decisión de diseño responde a una necesidad ciudadana concreta.</w:t>
      </w:r>
    </w:p>
    <w:p w14:paraId="1D2673E0" w14:textId="77777777" w:rsidR="00B901B2" w:rsidRDefault="00B901B2" w:rsidP="00B901B2">
      <w:pPr>
        <w:pStyle w:val="font-claude-response-body"/>
      </w:pPr>
      <w:r>
        <w:rPr>
          <w:rStyle w:val="Fuerte"/>
        </w:rPr>
        <w:t>Impacto social</w:t>
      </w:r>
      <w:r>
        <w:t xml:space="preserve"> Una ciudad que mide su éxito no por sus rascacielos, sino por cuántos minutos le tomó a un ciudadano de Villa Mella llegar a su trabajo, llevar a su hijo a una escuela digna y volver a casa antes de que oscurezca.</w:t>
      </w:r>
    </w:p>
    <w:p w14:paraId="67380AF3" w14:textId="77777777" w:rsidR="00B901B2" w:rsidRDefault="00B901B2" w:rsidP="00B901B2">
      <w:pPr>
        <w:pStyle w:val="font-claude-response-body"/>
      </w:pPr>
      <w:r>
        <w:rPr>
          <w:rStyle w:val="Fuerte"/>
        </w:rPr>
        <w:t>Cronograma de implementación 2026–2036</w:t>
      </w:r>
    </w:p>
    <w:tbl>
      <w:tblPr>
        <w:tblStyle w:val="Tablaconcuadrcula4-nfasis1"/>
        <w:tblW w:w="0" w:type="auto"/>
        <w:tblLook w:val="04A0" w:firstRow="1" w:lastRow="0" w:firstColumn="1" w:lastColumn="0" w:noHBand="0" w:noVBand="1"/>
      </w:tblPr>
      <w:tblGrid>
        <w:gridCol w:w="2001"/>
        <w:gridCol w:w="1266"/>
        <w:gridCol w:w="6083"/>
      </w:tblGrid>
      <w:tr w:rsidR="00B901B2" w14:paraId="7A93791D" w14:textId="77777777" w:rsidTr="00B90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8FD6B" w14:textId="77777777" w:rsidR="00B901B2" w:rsidRDefault="00B901B2">
            <w:pPr>
              <w:jc w:val="center"/>
            </w:pPr>
            <w:r>
              <w:rPr>
                <w:b w:val="0"/>
                <w:bCs w:val="0"/>
              </w:rPr>
              <w:t>Fase</w:t>
            </w:r>
          </w:p>
        </w:tc>
        <w:tc>
          <w:tcPr>
            <w:tcW w:w="0" w:type="auto"/>
            <w:hideMark/>
          </w:tcPr>
          <w:p w14:paraId="2FEED65A" w14:textId="77777777" w:rsidR="00B901B2" w:rsidRDefault="00B901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Período</w:t>
            </w:r>
          </w:p>
        </w:tc>
        <w:tc>
          <w:tcPr>
            <w:tcW w:w="0" w:type="auto"/>
            <w:hideMark/>
          </w:tcPr>
          <w:p w14:paraId="78A2047F" w14:textId="77777777" w:rsidR="00B901B2" w:rsidRDefault="00B901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Hitos principales</w:t>
            </w:r>
          </w:p>
        </w:tc>
      </w:tr>
      <w:tr w:rsidR="00B901B2" w14:paraId="39660FC0"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A4CD8" w14:textId="77777777" w:rsidR="00B901B2" w:rsidRDefault="00B901B2">
            <w:pPr>
              <w:rPr>
                <w:b w:val="0"/>
                <w:bCs w:val="0"/>
              </w:rPr>
            </w:pPr>
            <w:r>
              <w:t>1 · Cimientos</w:t>
            </w:r>
          </w:p>
        </w:tc>
        <w:tc>
          <w:tcPr>
            <w:tcW w:w="0" w:type="auto"/>
            <w:hideMark/>
          </w:tcPr>
          <w:p w14:paraId="68829EF5" w14:textId="77777777" w:rsidR="00B901B2" w:rsidRDefault="00B901B2">
            <w:pPr>
              <w:cnfStyle w:val="000000100000" w:firstRow="0" w:lastRow="0" w:firstColumn="0" w:lastColumn="0" w:oddVBand="0" w:evenVBand="0" w:oddHBand="1" w:evenHBand="0" w:firstRowFirstColumn="0" w:firstRowLastColumn="0" w:lastRowFirstColumn="0" w:lastRowLastColumn="0"/>
            </w:pPr>
            <w:r>
              <w:t>2026–2028</w:t>
            </w:r>
          </w:p>
        </w:tc>
        <w:tc>
          <w:tcPr>
            <w:tcW w:w="0" w:type="auto"/>
            <w:hideMark/>
          </w:tcPr>
          <w:p w14:paraId="76190873" w14:textId="77777777" w:rsidR="00B901B2" w:rsidRDefault="00B901B2">
            <w:pPr>
              <w:cnfStyle w:val="000000100000" w:firstRow="0" w:lastRow="0" w:firstColumn="0" w:lastColumn="0" w:oddVBand="0" w:evenVBand="0" w:oddHBand="1" w:evenHBand="0" w:firstRowFirstColumn="0" w:firstRowLastColumn="0" w:lastRowFirstColumn="0" w:lastRowLastColumn="0"/>
            </w:pPr>
            <w:r>
              <w:t>Línea 1B, primeros laboratorios STEAM, COC operativo</w:t>
            </w:r>
          </w:p>
        </w:tc>
      </w:tr>
      <w:tr w:rsidR="00B901B2" w14:paraId="1FBAD631" w14:textId="77777777" w:rsidTr="00B901B2">
        <w:tc>
          <w:tcPr>
            <w:cnfStyle w:val="001000000000" w:firstRow="0" w:lastRow="0" w:firstColumn="1" w:lastColumn="0" w:oddVBand="0" w:evenVBand="0" w:oddHBand="0" w:evenHBand="0" w:firstRowFirstColumn="0" w:firstRowLastColumn="0" w:lastRowFirstColumn="0" w:lastRowLastColumn="0"/>
            <w:tcW w:w="0" w:type="auto"/>
            <w:hideMark/>
          </w:tcPr>
          <w:p w14:paraId="1B7708DA" w14:textId="77777777" w:rsidR="00B901B2" w:rsidRDefault="00B901B2">
            <w:r>
              <w:t>2 · Expansión</w:t>
            </w:r>
          </w:p>
        </w:tc>
        <w:tc>
          <w:tcPr>
            <w:tcW w:w="0" w:type="auto"/>
            <w:hideMark/>
          </w:tcPr>
          <w:p w14:paraId="409B4D57" w14:textId="77777777" w:rsidR="00B901B2" w:rsidRDefault="00B901B2">
            <w:pPr>
              <w:cnfStyle w:val="000000000000" w:firstRow="0" w:lastRow="0" w:firstColumn="0" w:lastColumn="0" w:oddVBand="0" w:evenVBand="0" w:oddHBand="0" w:evenHBand="0" w:firstRowFirstColumn="0" w:firstRowLastColumn="0" w:lastRowFirstColumn="0" w:lastRowLastColumn="0"/>
            </w:pPr>
            <w:r>
              <w:t>2028–2032</w:t>
            </w:r>
          </w:p>
        </w:tc>
        <w:tc>
          <w:tcPr>
            <w:tcW w:w="0" w:type="auto"/>
            <w:hideMark/>
          </w:tcPr>
          <w:p w14:paraId="20F2DAA6" w14:textId="77777777" w:rsidR="00B901B2" w:rsidRDefault="00B901B2">
            <w:pPr>
              <w:cnfStyle w:val="000000000000" w:firstRow="0" w:lastRow="0" w:firstColumn="0" w:lastColumn="0" w:oddVBand="0" w:evenVBand="0" w:oddHBand="0" w:evenHBand="0" w:firstRowFirstColumn="0" w:firstRowLastColumn="0" w:lastRowFirstColumn="0" w:lastRowLastColumn="0"/>
            </w:pPr>
            <w:r>
              <w:t>Líneas 3 y 4, Hub de Innovación, Barrio Conectado masivo</w:t>
            </w:r>
          </w:p>
        </w:tc>
      </w:tr>
      <w:tr w:rsidR="00B901B2" w14:paraId="35FB7CDD"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7DF01" w14:textId="77777777" w:rsidR="00B901B2" w:rsidRDefault="00B901B2">
            <w:r>
              <w:t>3 · Consolidación</w:t>
            </w:r>
          </w:p>
        </w:tc>
        <w:tc>
          <w:tcPr>
            <w:tcW w:w="0" w:type="auto"/>
            <w:hideMark/>
          </w:tcPr>
          <w:p w14:paraId="71F314F5" w14:textId="77777777" w:rsidR="00B901B2" w:rsidRDefault="00B901B2">
            <w:pPr>
              <w:cnfStyle w:val="000000100000" w:firstRow="0" w:lastRow="0" w:firstColumn="0" w:lastColumn="0" w:oddVBand="0" w:evenVBand="0" w:oddHBand="1" w:evenHBand="0" w:firstRowFirstColumn="0" w:firstRowLastColumn="0" w:lastRowFirstColumn="0" w:lastRowLastColumn="0"/>
            </w:pPr>
            <w:r>
              <w:t>2032–2036</w:t>
            </w:r>
          </w:p>
        </w:tc>
        <w:tc>
          <w:tcPr>
            <w:tcW w:w="0" w:type="auto"/>
            <w:hideMark/>
          </w:tcPr>
          <w:p w14:paraId="1577F4EA" w14:textId="77777777" w:rsidR="00B901B2" w:rsidRDefault="00B901B2">
            <w:pPr>
              <w:cnfStyle w:val="000000100000" w:firstRow="0" w:lastRow="0" w:firstColumn="0" w:lastColumn="0" w:oddVBand="0" w:evenVBand="0" w:oddHBand="1" w:evenHBand="0" w:firstRowFirstColumn="0" w:firstRowLastColumn="0" w:lastRowFirstColumn="0" w:lastRowLastColumn="0"/>
            </w:pPr>
            <w:r>
              <w:t>Sistema completo, autosostenible con flujos de monetización activos</w:t>
            </w:r>
          </w:p>
        </w:tc>
      </w:tr>
    </w:tbl>
    <w:p w14:paraId="0BF20B8C" w14:textId="77777777" w:rsidR="00B901B2" w:rsidRDefault="00B901B2" w:rsidP="00B901B2">
      <w:pPr>
        <w:pStyle w:val="font-claude-response-body"/>
      </w:pPr>
      <w:r>
        <w:rPr>
          <w:rStyle w:val="Fuerte"/>
        </w:rPr>
        <w:lastRenderedPageBreak/>
        <w:t>Matriz de riesgos y mitigación</w:t>
      </w:r>
    </w:p>
    <w:tbl>
      <w:tblPr>
        <w:tblStyle w:val="Tablaconcuadrcula4-nfasis1"/>
        <w:tblW w:w="0" w:type="auto"/>
        <w:tblLook w:val="04A0" w:firstRow="1" w:lastRow="0" w:firstColumn="1" w:lastColumn="0" w:noHBand="0" w:noVBand="1"/>
      </w:tblPr>
      <w:tblGrid>
        <w:gridCol w:w="3751"/>
        <w:gridCol w:w="5599"/>
      </w:tblGrid>
      <w:tr w:rsidR="00B901B2" w14:paraId="5203544C" w14:textId="77777777" w:rsidTr="00B90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1A47E" w14:textId="77777777" w:rsidR="00B901B2" w:rsidRDefault="00B901B2">
            <w:pPr>
              <w:jc w:val="center"/>
            </w:pPr>
            <w:r>
              <w:rPr>
                <w:b w:val="0"/>
                <w:bCs w:val="0"/>
              </w:rPr>
              <w:t>Riesgo</w:t>
            </w:r>
          </w:p>
        </w:tc>
        <w:tc>
          <w:tcPr>
            <w:tcW w:w="0" w:type="auto"/>
            <w:hideMark/>
          </w:tcPr>
          <w:p w14:paraId="3D005D2D" w14:textId="77777777" w:rsidR="00B901B2" w:rsidRDefault="00B901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Mitigación</w:t>
            </w:r>
          </w:p>
        </w:tc>
      </w:tr>
      <w:tr w:rsidR="00B901B2" w14:paraId="3775BEAA"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5D65A" w14:textId="77777777" w:rsidR="00B901B2" w:rsidRDefault="00B901B2">
            <w:pPr>
              <w:rPr>
                <w:b w:val="0"/>
                <w:bCs w:val="0"/>
              </w:rPr>
            </w:pPr>
            <w:r>
              <w:t>Cambio de gobierno suspende el programa</w:t>
            </w:r>
          </w:p>
        </w:tc>
        <w:tc>
          <w:tcPr>
            <w:tcW w:w="0" w:type="auto"/>
            <w:hideMark/>
          </w:tcPr>
          <w:p w14:paraId="14BD265F" w14:textId="77777777" w:rsidR="00B901B2" w:rsidRDefault="00B901B2">
            <w:pPr>
              <w:cnfStyle w:val="000000100000" w:firstRow="0" w:lastRow="0" w:firstColumn="0" w:lastColumn="0" w:oddVBand="0" w:evenVBand="0" w:oddHBand="1" w:evenHBand="0" w:firstRowFirstColumn="0" w:firstRowLastColumn="0" w:lastRowFirstColumn="0" w:lastRowLastColumn="0"/>
            </w:pPr>
            <w:r>
              <w:t>Consejo Permanente 2036 + fideicomiso público (Ley 189-11)</w:t>
            </w:r>
          </w:p>
        </w:tc>
      </w:tr>
      <w:tr w:rsidR="00B901B2" w14:paraId="791D6B5D" w14:textId="77777777" w:rsidTr="00B901B2">
        <w:tc>
          <w:tcPr>
            <w:cnfStyle w:val="001000000000" w:firstRow="0" w:lastRow="0" w:firstColumn="1" w:lastColumn="0" w:oddVBand="0" w:evenVBand="0" w:oddHBand="0" w:evenHBand="0" w:firstRowFirstColumn="0" w:firstRowLastColumn="0" w:lastRowFirstColumn="0" w:lastRowLastColumn="0"/>
            <w:tcW w:w="0" w:type="auto"/>
            <w:hideMark/>
          </w:tcPr>
          <w:p w14:paraId="3B20436B" w14:textId="77777777" w:rsidR="00B901B2" w:rsidRDefault="00B901B2">
            <w:r>
              <w:t>Huracán categoría 4-5 daña infraestructura</w:t>
            </w:r>
          </w:p>
        </w:tc>
        <w:tc>
          <w:tcPr>
            <w:tcW w:w="0" w:type="auto"/>
            <w:hideMark/>
          </w:tcPr>
          <w:p w14:paraId="5FC73A88" w14:textId="77777777" w:rsidR="00B901B2" w:rsidRDefault="00B901B2">
            <w:pPr>
              <w:cnfStyle w:val="000000000000" w:firstRow="0" w:lastRow="0" w:firstColumn="0" w:lastColumn="0" w:oddVBand="0" w:evenVBand="0" w:oddHBand="0" w:evenHBand="0" w:firstRowFirstColumn="0" w:firstRowLastColumn="0" w:lastRowFirstColumn="0" w:lastRowLastColumn="0"/>
            </w:pPr>
            <w:r>
              <w:t>Estándares ACI/ASCE + seguros catastróficos + Ozama como amortiguador</w:t>
            </w:r>
          </w:p>
        </w:tc>
      </w:tr>
      <w:tr w:rsidR="00B901B2" w14:paraId="64DBE76A"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CC791" w14:textId="77777777" w:rsidR="00B901B2" w:rsidRDefault="00B901B2">
            <w:r>
              <w:t>APP Ley 47-20 no atrae inversionistas</w:t>
            </w:r>
          </w:p>
        </w:tc>
        <w:tc>
          <w:tcPr>
            <w:tcW w:w="0" w:type="auto"/>
            <w:hideMark/>
          </w:tcPr>
          <w:p w14:paraId="1770FE63" w14:textId="77777777" w:rsidR="00B901B2" w:rsidRDefault="00B901B2">
            <w:pPr>
              <w:cnfStyle w:val="000000100000" w:firstRow="0" w:lastRow="0" w:firstColumn="0" w:lastColumn="0" w:oddVBand="0" w:evenVBand="0" w:oddHBand="1" w:evenHBand="0" w:firstRowFirstColumn="0" w:firstRowLastColumn="0" w:lastRowFirstColumn="0" w:lastRowLastColumn="0"/>
            </w:pPr>
            <w:r>
              <w:t>Garantías del Estado + respaldo BID/Banco Mundial + bonos verdes</w:t>
            </w:r>
          </w:p>
        </w:tc>
      </w:tr>
      <w:tr w:rsidR="00B901B2" w14:paraId="6E0FD1B1" w14:textId="77777777" w:rsidTr="00B901B2">
        <w:tc>
          <w:tcPr>
            <w:cnfStyle w:val="001000000000" w:firstRow="0" w:lastRow="0" w:firstColumn="1" w:lastColumn="0" w:oddVBand="0" w:evenVBand="0" w:oddHBand="0" w:evenHBand="0" w:firstRowFirstColumn="0" w:firstRowLastColumn="0" w:lastRowFirstColumn="0" w:lastRowLastColumn="0"/>
            <w:tcW w:w="0" w:type="auto"/>
            <w:hideMark/>
          </w:tcPr>
          <w:p w14:paraId="6349CA56" w14:textId="77777777" w:rsidR="00B901B2" w:rsidRDefault="00B901B2">
            <w:r>
              <w:t>Resistencia ciudadana por reubicaciones</w:t>
            </w:r>
          </w:p>
        </w:tc>
        <w:tc>
          <w:tcPr>
            <w:tcW w:w="0" w:type="auto"/>
            <w:hideMark/>
          </w:tcPr>
          <w:p w14:paraId="20E4369C" w14:textId="77777777" w:rsidR="00B901B2" w:rsidRDefault="00B901B2">
            <w:pPr>
              <w:cnfStyle w:val="000000000000" w:firstRow="0" w:lastRow="0" w:firstColumn="0" w:lastColumn="0" w:oddVBand="0" w:evenVBand="0" w:oddHBand="0" w:evenHBand="0" w:firstRowFirstColumn="0" w:firstRowLastColumn="0" w:lastRowFirstColumn="0" w:lastRowLastColumn="0"/>
            </w:pPr>
            <w:r>
              <w:t>Consulta vinculante por barrio + presupuesto participativo digital</w:t>
            </w:r>
          </w:p>
        </w:tc>
      </w:tr>
      <w:tr w:rsidR="00B901B2" w14:paraId="497E2BA7" w14:textId="77777777" w:rsidTr="00B901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C5707" w14:textId="77777777" w:rsidR="00B901B2" w:rsidRDefault="00B901B2">
            <w:r>
              <w:t>Brechas digitales y exclusión tecnológica</w:t>
            </w:r>
          </w:p>
        </w:tc>
        <w:tc>
          <w:tcPr>
            <w:tcW w:w="0" w:type="auto"/>
            <w:hideMark/>
          </w:tcPr>
          <w:p w14:paraId="58D39EC1" w14:textId="77777777" w:rsidR="00B901B2" w:rsidRDefault="00B901B2">
            <w:pPr>
              <w:cnfStyle w:val="000000100000" w:firstRow="0" w:lastRow="0" w:firstColumn="0" w:lastColumn="0" w:oddVBand="0" w:evenVBand="0" w:oddHBand="1" w:evenHBand="0" w:firstRowFirstColumn="0" w:firstRowLastColumn="0" w:lastRowFirstColumn="0" w:lastRowLastColumn="0"/>
            </w:pPr>
            <w:r>
              <w:t>Wi-Fi gratuito + atención presencial garantizada en paralelo</w:t>
            </w:r>
          </w:p>
        </w:tc>
      </w:tr>
      <w:tr w:rsidR="00B901B2" w14:paraId="74E5768D" w14:textId="77777777" w:rsidTr="00B901B2">
        <w:tc>
          <w:tcPr>
            <w:cnfStyle w:val="001000000000" w:firstRow="0" w:lastRow="0" w:firstColumn="1" w:lastColumn="0" w:oddVBand="0" w:evenVBand="0" w:oddHBand="0" w:evenHBand="0" w:firstRowFirstColumn="0" w:firstRowLastColumn="0" w:lastRowFirstColumn="0" w:lastRowLastColumn="0"/>
            <w:tcW w:w="0" w:type="auto"/>
            <w:hideMark/>
          </w:tcPr>
          <w:p w14:paraId="085D81D5" w14:textId="77777777" w:rsidR="00B901B2" w:rsidRDefault="00B901B2">
            <w:r>
              <w:t>Ciberataques al sistema de la ciudad</w:t>
            </w:r>
          </w:p>
        </w:tc>
        <w:tc>
          <w:tcPr>
            <w:tcW w:w="0" w:type="auto"/>
            <w:hideMark/>
          </w:tcPr>
          <w:p w14:paraId="064A8BE5" w14:textId="77777777" w:rsidR="00B901B2" w:rsidRDefault="00B901B2">
            <w:pPr>
              <w:cnfStyle w:val="000000000000" w:firstRow="0" w:lastRow="0" w:firstColumn="0" w:lastColumn="0" w:oddVBand="0" w:evenVBand="0" w:oddHBand="0" w:evenHBand="0" w:firstRowFirstColumn="0" w:firstRowLastColumn="0" w:lastRowFirstColumn="0" w:lastRowLastColumn="0"/>
            </w:pPr>
            <w:r>
              <w:t>Arquitectura zero-trust + equipo CSIRT permanente + Ley 53-07</w:t>
            </w:r>
          </w:p>
        </w:tc>
      </w:tr>
    </w:tbl>
    <w:p w14:paraId="361C7EAD" w14:textId="77777777" w:rsidR="001B7A22" w:rsidRDefault="00B901B2" w:rsidP="001B7A22">
      <w:pPr>
        <w:pStyle w:val="font-claude-response-body"/>
        <w:jc w:val="both"/>
      </w:pPr>
      <w:r>
        <w:rPr>
          <w:rStyle w:val="Fuerte"/>
        </w:rPr>
        <w:t>Sinergia del equipo y alianzas de impacto</w:t>
      </w:r>
      <w:r>
        <w:t xml:space="preserve"> </w:t>
      </w:r>
    </w:p>
    <w:p w14:paraId="2201FF6D" w14:textId="35D48C70" w:rsidR="00B901B2" w:rsidRDefault="00B901B2" w:rsidP="001B7A22">
      <w:pPr>
        <w:pStyle w:val="font-claude-response-body"/>
        <w:jc w:val="both"/>
      </w:pPr>
      <w:r>
        <w:t>Equipo multidisciplinario UAPA con perfiles complementarios en tecnología, finanzas y derecho. Vinculación directa con Actuana Academy como socio técnico para la componente de educación STEAM y monitoreo ambiental con sensores ESP32. Red de soporte con organismos internacionales como BID, Banco Mundial y AFD, capaz de acelerar el crecimiento y la sostenibilidad del modelo.</w:t>
      </w:r>
    </w:p>
    <w:p w14:paraId="1ED52706" w14:textId="77777777" w:rsidR="00B901B2" w:rsidRDefault="00B901B2" w:rsidP="007C4D9F">
      <w:pPr>
        <w:pStyle w:val="font-claude-response-body"/>
      </w:pPr>
    </w:p>
    <w:p w14:paraId="43E019B5" w14:textId="77777777" w:rsidR="007D4EE9" w:rsidRDefault="007D4EE9" w:rsidP="007D4EE9">
      <w:pPr>
        <w:jc w:val="both"/>
      </w:pPr>
    </w:p>
    <w:p w14:paraId="497B2C3F" w14:textId="77777777" w:rsidR="007D4EE9" w:rsidRDefault="007D4EE9" w:rsidP="007D4EE9">
      <w:pPr>
        <w:jc w:val="both"/>
      </w:pPr>
    </w:p>
    <w:p w14:paraId="65A1ED73" w14:textId="77777777" w:rsidR="00B901B2" w:rsidRDefault="00B901B2" w:rsidP="007D4EE9">
      <w:pPr>
        <w:jc w:val="both"/>
      </w:pPr>
    </w:p>
    <w:p w14:paraId="1A545228" w14:textId="77777777" w:rsidR="00B901B2" w:rsidRDefault="00B901B2" w:rsidP="007D4EE9">
      <w:pPr>
        <w:jc w:val="both"/>
      </w:pPr>
    </w:p>
    <w:p w14:paraId="51EB2B6F" w14:textId="77777777" w:rsidR="00B901B2" w:rsidRDefault="00B901B2" w:rsidP="007D4EE9">
      <w:pPr>
        <w:jc w:val="both"/>
      </w:pPr>
    </w:p>
    <w:p w14:paraId="59B4B604" w14:textId="77777777" w:rsidR="00B901B2" w:rsidRDefault="00B901B2" w:rsidP="007D4EE9">
      <w:pPr>
        <w:jc w:val="both"/>
      </w:pPr>
    </w:p>
    <w:p w14:paraId="136A239C" w14:textId="77777777" w:rsidR="00B901B2" w:rsidRDefault="00B901B2" w:rsidP="007D4EE9">
      <w:pPr>
        <w:jc w:val="both"/>
      </w:pPr>
    </w:p>
    <w:p w14:paraId="08219030" w14:textId="77777777" w:rsidR="00B901B2" w:rsidRDefault="00B901B2" w:rsidP="007D4EE9">
      <w:pPr>
        <w:jc w:val="both"/>
      </w:pPr>
    </w:p>
    <w:p w14:paraId="0113ADDA" w14:textId="77777777" w:rsidR="00B901B2" w:rsidRDefault="00B901B2" w:rsidP="007D4EE9">
      <w:pPr>
        <w:jc w:val="both"/>
      </w:pPr>
    </w:p>
    <w:p w14:paraId="2AD83B1B" w14:textId="77777777" w:rsidR="00B901B2" w:rsidRDefault="00B901B2" w:rsidP="007D4EE9">
      <w:pPr>
        <w:jc w:val="both"/>
      </w:pPr>
    </w:p>
    <w:p w14:paraId="3AA2A3C2" w14:textId="77777777" w:rsidR="00B901B2" w:rsidRDefault="00B901B2" w:rsidP="007D4EE9">
      <w:pPr>
        <w:jc w:val="both"/>
      </w:pPr>
    </w:p>
    <w:p w14:paraId="6B7BAB10" w14:textId="77777777" w:rsidR="00B901B2" w:rsidRDefault="00B901B2" w:rsidP="007D4EE9">
      <w:pPr>
        <w:jc w:val="both"/>
      </w:pPr>
    </w:p>
    <w:p w14:paraId="7A1FB5E0" w14:textId="77777777" w:rsidR="00B901B2" w:rsidRDefault="00B901B2" w:rsidP="007D4EE9">
      <w:pPr>
        <w:jc w:val="both"/>
      </w:pPr>
    </w:p>
    <w:p w14:paraId="3B8FBB10" w14:textId="77777777" w:rsidR="00B901B2" w:rsidRDefault="00B901B2" w:rsidP="007D4EE9">
      <w:pPr>
        <w:jc w:val="both"/>
      </w:pPr>
    </w:p>
    <w:p w14:paraId="19E6E35A" w14:textId="77777777" w:rsidR="00B901B2" w:rsidRDefault="00B901B2" w:rsidP="007D4EE9">
      <w:pPr>
        <w:jc w:val="both"/>
      </w:pPr>
    </w:p>
    <w:p w14:paraId="7EC43E18" w14:textId="77777777" w:rsidR="00B901B2" w:rsidRDefault="00B901B2" w:rsidP="007D4EE9">
      <w:pPr>
        <w:jc w:val="both"/>
      </w:pPr>
    </w:p>
    <w:p w14:paraId="11A800A9" w14:textId="77777777" w:rsidR="00B901B2" w:rsidRDefault="00B901B2" w:rsidP="007D4EE9">
      <w:pPr>
        <w:jc w:val="both"/>
      </w:pPr>
    </w:p>
    <w:p w14:paraId="03B5F493" w14:textId="77777777" w:rsidR="00B901B2" w:rsidRDefault="00B901B2" w:rsidP="007D4EE9">
      <w:pPr>
        <w:jc w:val="both"/>
      </w:pPr>
    </w:p>
    <w:p w14:paraId="673B087F" w14:textId="77777777" w:rsidR="00B901B2" w:rsidRDefault="00B901B2" w:rsidP="007D4EE9">
      <w:pPr>
        <w:jc w:val="both"/>
      </w:pPr>
    </w:p>
    <w:p w14:paraId="503116A8" w14:textId="77777777" w:rsidR="00B901B2" w:rsidRDefault="00B901B2" w:rsidP="007D4EE9">
      <w:pPr>
        <w:jc w:val="both"/>
      </w:pPr>
    </w:p>
    <w:p w14:paraId="3D345375" w14:textId="77777777" w:rsidR="00B901B2" w:rsidRDefault="00B901B2" w:rsidP="007D4EE9">
      <w:pPr>
        <w:jc w:val="both"/>
      </w:pPr>
    </w:p>
    <w:p w14:paraId="126259C9" w14:textId="77777777" w:rsidR="00B901B2" w:rsidRDefault="00B901B2" w:rsidP="007D4EE9">
      <w:pPr>
        <w:jc w:val="both"/>
      </w:pPr>
    </w:p>
    <w:p w14:paraId="46204C4F" w14:textId="77777777" w:rsidR="00B901B2" w:rsidRDefault="00B901B2" w:rsidP="007D4EE9">
      <w:pPr>
        <w:jc w:val="both"/>
      </w:pPr>
    </w:p>
    <w:p w14:paraId="30EFB8B6" w14:textId="77777777" w:rsidR="00B901B2" w:rsidRDefault="00B901B2" w:rsidP="001B7A22">
      <w:pPr>
        <w:pStyle w:val="Ttulo2"/>
        <w:jc w:val="both"/>
      </w:pPr>
      <w:bookmarkStart w:id="10" w:name="_Toc228954053"/>
      <w:r>
        <w:lastRenderedPageBreak/>
        <w:t>Conclusión</w:t>
      </w:r>
      <w:bookmarkEnd w:id="10"/>
    </w:p>
    <w:p w14:paraId="778DDEED" w14:textId="77777777" w:rsidR="00B901B2" w:rsidRDefault="00B901B2" w:rsidP="001B7A22">
      <w:pPr>
        <w:pStyle w:val="font-claude-response-body"/>
        <w:jc w:val="both"/>
      </w:pPr>
      <w:r>
        <w:t>Santo Domingo 2036 se presenta como una propuesta viable, no como una utopía, porque combina tres elementos que rara vez coinciden en un mismo plan: decisión política sostenible, planificación técnica rigurosa y financiamiento recuperable.</w:t>
      </w:r>
    </w:p>
    <w:p w14:paraId="18AE2EE0" w14:textId="77777777" w:rsidR="00B901B2" w:rsidRDefault="00B901B2" w:rsidP="001B7A22">
      <w:pPr>
        <w:pStyle w:val="font-claude-response-body"/>
        <w:jc w:val="both"/>
      </w:pPr>
      <w:r>
        <w:t>El país ya tiene todo lo que necesita para comenzar. Tiene el marco legal: doce leyes vigentes que habilitan cada componente de esta propuesta sin requerir ninguna reforma de fondo. Tiene la experiencia: el Metro de Santo Domingo demostró que el transporte masivo funciona y transforma vidas. Tiene la alineación estratégica: la Ley 1-12 y la Meta RD 2036 ya señalan el camino. Tiene el talento: Actuana Academy y los estudiantes de UAPA son prueba de que la innovación tecnológica se puede construir desde adentro.</w:t>
      </w:r>
    </w:p>
    <w:p w14:paraId="6D48F5C1" w14:textId="77777777" w:rsidR="00B901B2" w:rsidRDefault="00B901B2" w:rsidP="001B7A22">
      <w:pPr>
        <w:pStyle w:val="font-claude-response-body"/>
        <w:jc w:val="both"/>
      </w:pPr>
      <w:r>
        <w:t>Lo que falta no es una nueva ley ni un nuevo organismo. Lo que falta es decisión: la voluntad de coordinar lo que ya existe, de ejecutar lo que ya está diseñado y de mantener la continuidad más allá de los ciclos políticos.</w:t>
      </w:r>
    </w:p>
    <w:p w14:paraId="2308D7AA" w14:textId="77777777" w:rsidR="00B901B2" w:rsidRDefault="00B901B2" w:rsidP="001B7A22">
      <w:pPr>
        <w:pStyle w:val="font-claude-response-body"/>
        <w:jc w:val="both"/>
      </w:pPr>
      <w:r>
        <w:t>Esta propuesta organiza esa decisión en una secuencia lógica y ejecutable. Primero el Metro, porque sin movilidad no hay ciudad funcional. Luego los barrios dignos, porque sin equidad territorial no hay cohesión social. Después el Distrito Histórico-Tecnológico, porque sin competitividad internacional no hay crecimiento sostenido. Y de forma transversal, siempre, la educación: porque sin ciudadanos preparados, ninguna infraestructura inteligente tiene sentido.</w:t>
      </w:r>
    </w:p>
    <w:p w14:paraId="2546537A" w14:textId="77777777" w:rsidR="00B901B2" w:rsidRDefault="00B901B2" w:rsidP="001B7A22">
      <w:pPr>
        <w:pStyle w:val="font-claude-response-body"/>
        <w:jc w:val="both"/>
      </w:pPr>
      <w:r>
        <w:t>Santo Domingo 2036 no es el final de un proceso. Es el comienzo responsable de uno. Y ese comienzo se construye en el presente, una estación, un barrio, un estudiante y una decisión a la vez.</w:t>
      </w:r>
    </w:p>
    <w:p w14:paraId="15FD2413" w14:textId="77777777" w:rsidR="00B901B2" w:rsidRDefault="00B901B2" w:rsidP="001B7A22">
      <w:pPr>
        <w:pStyle w:val="font-claude-response-body"/>
        <w:jc w:val="both"/>
      </w:pPr>
      <w:r>
        <w:rPr>
          <w:rStyle w:val="Fuerte"/>
        </w:rPr>
        <w:t>La República Dominicana tiene todo lo que necesita para ser el referente urbano del Caribe en 2036. Solo falta decidirlo.</w:t>
      </w:r>
    </w:p>
    <w:p w14:paraId="49A9376C" w14:textId="77777777" w:rsidR="00B901B2" w:rsidRDefault="00B901B2" w:rsidP="007D4EE9">
      <w:pPr>
        <w:jc w:val="both"/>
      </w:pPr>
    </w:p>
    <w:p w14:paraId="07FB51D1" w14:textId="77777777" w:rsidR="00B901B2" w:rsidRDefault="00B901B2" w:rsidP="007D4EE9">
      <w:pPr>
        <w:jc w:val="both"/>
      </w:pPr>
    </w:p>
    <w:p w14:paraId="410BCA2F" w14:textId="77777777" w:rsidR="00B901B2" w:rsidRDefault="00B901B2" w:rsidP="007D4EE9">
      <w:pPr>
        <w:jc w:val="both"/>
      </w:pPr>
    </w:p>
    <w:p w14:paraId="63012108" w14:textId="77777777" w:rsidR="00B901B2" w:rsidRDefault="00B901B2" w:rsidP="007D4EE9">
      <w:pPr>
        <w:jc w:val="both"/>
      </w:pPr>
    </w:p>
    <w:p w14:paraId="35403694" w14:textId="77777777" w:rsidR="00B901B2" w:rsidRDefault="00B901B2" w:rsidP="007D4EE9">
      <w:pPr>
        <w:jc w:val="both"/>
      </w:pPr>
    </w:p>
    <w:p w14:paraId="27D76385" w14:textId="77777777" w:rsidR="00B901B2" w:rsidRDefault="00B901B2" w:rsidP="007D4EE9">
      <w:pPr>
        <w:jc w:val="both"/>
      </w:pPr>
    </w:p>
    <w:p w14:paraId="7CDF3333" w14:textId="77777777" w:rsidR="00B901B2" w:rsidRDefault="00B901B2" w:rsidP="007D4EE9">
      <w:pPr>
        <w:jc w:val="both"/>
      </w:pPr>
    </w:p>
    <w:p w14:paraId="62D53774" w14:textId="77777777" w:rsidR="00B901B2" w:rsidRDefault="00B901B2" w:rsidP="007D4EE9">
      <w:pPr>
        <w:jc w:val="both"/>
      </w:pPr>
    </w:p>
    <w:p w14:paraId="02A1B6EE" w14:textId="77777777" w:rsidR="00B901B2" w:rsidRDefault="00B901B2" w:rsidP="007D4EE9">
      <w:pPr>
        <w:jc w:val="both"/>
      </w:pPr>
    </w:p>
    <w:p w14:paraId="69030B0E" w14:textId="77777777" w:rsidR="00B901B2" w:rsidRDefault="00B901B2" w:rsidP="007D4EE9">
      <w:pPr>
        <w:jc w:val="both"/>
      </w:pPr>
    </w:p>
    <w:p w14:paraId="1487A3A9" w14:textId="77777777" w:rsidR="00B901B2" w:rsidRDefault="00B901B2" w:rsidP="007D4EE9">
      <w:pPr>
        <w:jc w:val="both"/>
      </w:pPr>
    </w:p>
    <w:p w14:paraId="7EFA002D" w14:textId="77777777" w:rsidR="00B901B2" w:rsidRDefault="00B901B2" w:rsidP="007D4EE9">
      <w:pPr>
        <w:jc w:val="both"/>
      </w:pPr>
    </w:p>
    <w:p w14:paraId="22DA83D6" w14:textId="77777777" w:rsidR="00B901B2" w:rsidRDefault="00B901B2" w:rsidP="007D4EE9">
      <w:pPr>
        <w:jc w:val="both"/>
      </w:pPr>
    </w:p>
    <w:p w14:paraId="0DFB3537" w14:textId="77777777" w:rsidR="00B901B2" w:rsidRDefault="00B901B2" w:rsidP="007D4EE9">
      <w:pPr>
        <w:jc w:val="both"/>
      </w:pPr>
    </w:p>
    <w:p w14:paraId="0AE5CCC5" w14:textId="77777777" w:rsidR="00B901B2" w:rsidRDefault="00B901B2" w:rsidP="007D4EE9">
      <w:pPr>
        <w:jc w:val="both"/>
      </w:pPr>
    </w:p>
    <w:p w14:paraId="2B093475" w14:textId="77777777" w:rsidR="00B901B2" w:rsidRDefault="00B901B2" w:rsidP="007D4EE9">
      <w:pPr>
        <w:jc w:val="both"/>
      </w:pPr>
    </w:p>
    <w:p w14:paraId="58C93597" w14:textId="77777777" w:rsidR="00B901B2" w:rsidRDefault="00B901B2" w:rsidP="007D4EE9">
      <w:pPr>
        <w:jc w:val="both"/>
      </w:pPr>
    </w:p>
    <w:p w14:paraId="07DAF1FF" w14:textId="77777777" w:rsidR="00B901B2" w:rsidRDefault="00B901B2" w:rsidP="007D4EE9">
      <w:pPr>
        <w:jc w:val="both"/>
      </w:pPr>
    </w:p>
    <w:p w14:paraId="2B01370D" w14:textId="77777777" w:rsidR="00B901B2" w:rsidRDefault="00B901B2" w:rsidP="001B7A22">
      <w:pPr>
        <w:pStyle w:val="Ttulo2"/>
        <w:jc w:val="both"/>
      </w:pPr>
      <w:bookmarkStart w:id="11" w:name="_Toc228954054"/>
      <w:r>
        <w:lastRenderedPageBreak/>
        <w:t>Referencias</w:t>
      </w:r>
      <w:bookmarkEnd w:id="11"/>
    </w:p>
    <w:p w14:paraId="68A9C96F" w14:textId="77777777" w:rsidR="00B901B2" w:rsidRDefault="00B901B2" w:rsidP="001B7A22">
      <w:pPr>
        <w:pStyle w:val="font-claude-response-body"/>
        <w:jc w:val="both"/>
      </w:pPr>
      <w:r>
        <w:rPr>
          <w:rStyle w:val="Fuerte"/>
        </w:rPr>
        <w:t>Marco legal dominicano</w:t>
      </w:r>
    </w:p>
    <w:p w14:paraId="54A18DC0" w14:textId="77777777" w:rsidR="00B901B2" w:rsidRDefault="00B901B2" w:rsidP="001B7A22">
      <w:pPr>
        <w:pStyle w:val="whitespace-normal"/>
        <w:numPr>
          <w:ilvl w:val="0"/>
          <w:numId w:val="14"/>
        </w:numPr>
        <w:jc w:val="both"/>
      </w:pPr>
      <w:r>
        <w:t>Ley 1-12 · Estrategia Nacional de Desarrollo de la República Dominicana 2030</w:t>
      </w:r>
    </w:p>
    <w:p w14:paraId="54C7E434" w14:textId="77777777" w:rsidR="00B901B2" w:rsidRDefault="00B901B2" w:rsidP="001B7A22">
      <w:pPr>
        <w:pStyle w:val="whitespace-normal"/>
        <w:numPr>
          <w:ilvl w:val="0"/>
          <w:numId w:val="14"/>
        </w:numPr>
        <w:jc w:val="both"/>
      </w:pPr>
      <w:r>
        <w:t>Ley 47-20 · Ley de Alianzas Público-Privadas</w:t>
      </w:r>
    </w:p>
    <w:p w14:paraId="138A767C" w14:textId="77777777" w:rsidR="00B901B2" w:rsidRDefault="00B901B2" w:rsidP="001B7A22">
      <w:pPr>
        <w:pStyle w:val="whitespace-normal"/>
        <w:numPr>
          <w:ilvl w:val="0"/>
          <w:numId w:val="14"/>
        </w:numPr>
        <w:jc w:val="both"/>
      </w:pPr>
      <w:r>
        <w:t>Ley 53-07 · Sobre crímenes y delitos de alta tecnología</w:t>
      </w:r>
    </w:p>
    <w:p w14:paraId="41F0337C" w14:textId="77777777" w:rsidR="00B901B2" w:rsidRDefault="00B901B2" w:rsidP="001B7A22">
      <w:pPr>
        <w:pStyle w:val="whitespace-normal"/>
        <w:numPr>
          <w:ilvl w:val="0"/>
          <w:numId w:val="14"/>
        </w:numPr>
        <w:jc w:val="both"/>
      </w:pPr>
      <w:r>
        <w:t>Ley 57-07 · Incentivo al desarrollo de fuentes renovables de energía</w:t>
      </w:r>
    </w:p>
    <w:p w14:paraId="36F3FDFB" w14:textId="77777777" w:rsidR="00B901B2" w:rsidRDefault="00B901B2" w:rsidP="001B7A22">
      <w:pPr>
        <w:pStyle w:val="whitespace-normal"/>
        <w:numPr>
          <w:ilvl w:val="0"/>
          <w:numId w:val="14"/>
        </w:numPr>
        <w:jc w:val="both"/>
      </w:pPr>
      <w:r>
        <w:t>Ley 63-17 · Movilidad, Transporte Terrestre, Tránsito y Seguridad Vial</w:t>
      </w:r>
    </w:p>
    <w:p w14:paraId="4963492B" w14:textId="77777777" w:rsidR="00B901B2" w:rsidRDefault="00B901B2" w:rsidP="001B7A22">
      <w:pPr>
        <w:pStyle w:val="whitespace-normal"/>
        <w:numPr>
          <w:ilvl w:val="0"/>
          <w:numId w:val="14"/>
        </w:numPr>
        <w:jc w:val="both"/>
      </w:pPr>
      <w:r>
        <w:t>Ley 103-13 · De incentivo a la importación de vehículos de energía no convencional</w:t>
      </w:r>
    </w:p>
    <w:p w14:paraId="00FADF4D" w14:textId="77777777" w:rsidR="00B901B2" w:rsidRDefault="00B901B2" w:rsidP="001B7A22">
      <w:pPr>
        <w:pStyle w:val="whitespace-normal"/>
        <w:numPr>
          <w:ilvl w:val="0"/>
          <w:numId w:val="14"/>
        </w:numPr>
        <w:jc w:val="both"/>
      </w:pPr>
      <w:r>
        <w:t>Ley 172-13 · Sobre Protección Integral de Datos Personales</w:t>
      </w:r>
    </w:p>
    <w:p w14:paraId="335536EF" w14:textId="77777777" w:rsidR="00B901B2" w:rsidRDefault="00B901B2" w:rsidP="001B7A22">
      <w:pPr>
        <w:pStyle w:val="whitespace-normal"/>
        <w:numPr>
          <w:ilvl w:val="0"/>
          <w:numId w:val="14"/>
        </w:numPr>
        <w:jc w:val="both"/>
      </w:pPr>
      <w:r>
        <w:t>Ley 189-11 · Para el desarrollo del mercado hipotecario y el fideicomiso</w:t>
      </w:r>
    </w:p>
    <w:p w14:paraId="67293DDF" w14:textId="77777777" w:rsidR="00B901B2" w:rsidRDefault="00B901B2" w:rsidP="001B7A22">
      <w:pPr>
        <w:pStyle w:val="whitespace-normal"/>
        <w:numPr>
          <w:ilvl w:val="0"/>
          <w:numId w:val="14"/>
        </w:numPr>
        <w:jc w:val="both"/>
      </w:pPr>
      <w:r>
        <w:t>Ley 225-20 · General de Gestión Integral y Coprocesamiento de Residuos Sólidos</w:t>
      </w:r>
    </w:p>
    <w:p w14:paraId="3437918E" w14:textId="77777777" w:rsidR="00B901B2" w:rsidRDefault="00B901B2" w:rsidP="001B7A22">
      <w:pPr>
        <w:pStyle w:val="whitespace-normal"/>
        <w:numPr>
          <w:ilvl w:val="0"/>
          <w:numId w:val="14"/>
        </w:numPr>
        <w:jc w:val="both"/>
      </w:pPr>
      <w:r>
        <w:t>Ley 249-17 · Del Mercado de Valores</w:t>
      </w:r>
    </w:p>
    <w:p w14:paraId="52D7C848" w14:textId="77777777" w:rsidR="00B901B2" w:rsidRDefault="00B901B2" w:rsidP="001B7A22">
      <w:pPr>
        <w:pStyle w:val="whitespace-normal"/>
        <w:numPr>
          <w:ilvl w:val="0"/>
          <w:numId w:val="14"/>
        </w:numPr>
        <w:jc w:val="both"/>
      </w:pPr>
      <w:r>
        <w:t>Ley 368-22 · De Ordenamiento Territorial, Uso de Suelo y Asentamientos Humanos</w:t>
      </w:r>
    </w:p>
    <w:p w14:paraId="3B2B47E0" w14:textId="77777777" w:rsidR="00B901B2" w:rsidRDefault="00B901B2" w:rsidP="001B7A22">
      <w:pPr>
        <w:pStyle w:val="whitespace-normal"/>
        <w:numPr>
          <w:ilvl w:val="0"/>
          <w:numId w:val="14"/>
        </w:numPr>
        <w:jc w:val="both"/>
      </w:pPr>
      <w:r>
        <w:t>Ley 169-16 · Régimen especial sobre regularización migratoria</w:t>
      </w:r>
    </w:p>
    <w:p w14:paraId="06712E6D" w14:textId="77777777" w:rsidR="00B901B2" w:rsidRDefault="00B901B2" w:rsidP="001B7A22">
      <w:pPr>
        <w:pStyle w:val="font-claude-response-body"/>
        <w:jc w:val="both"/>
      </w:pPr>
      <w:r>
        <w:rPr>
          <w:rStyle w:val="Fuerte"/>
        </w:rPr>
        <w:t>Fuentes institucionales nacionales</w:t>
      </w:r>
    </w:p>
    <w:p w14:paraId="3F0EBB1A" w14:textId="77777777" w:rsidR="00B901B2" w:rsidRDefault="00B901B2" w:rsidP="001B7A22">
      <w:pPr>
        <w:pStyle w:val="whitespace-normal"/>
        <w:numPr>
          <w:ilvl w:val="0"/>
          <w:numId w:val="15"/>
        </w:numPr>
        <w:jc w:val="both"/>
      </w:pPr>
      <w:r>
        <w:t>OPRET · Oficina para el Reordenamiento del Transporte</w:t>
      </w:r>
    </w:p>
    <w:p w14:paraId="332CB46E" w14:textId="77777777" w:rsidR="00B901B2" w:rsidRDefault="00B901B2" w:rsidP="001B7A22">
      <w:pPr>
        <w:pStyle w:val="whitespace-normal"/>
        <w:numPr>
          <w:ilvl w:val="0"/>
          <w:numId w:val="15"/>
        </w:numPr>
        <w:jc w:val="both"/>
      </w:pPr>
      <w:r>
        <w:t>MEPyD · Ministerio de Economía, Planificación y Desarrollo · Meta RD 2036</w:t>
      </w:r>
    </w:p>
    <w:p w14:paraId="5512AD96" w14:textId="77777777" w:rsidR="00B901B2" w:rsidRDefault="00B901B2" w:rsidP="001B7A22">
      <w:pPr>
        <w:pStyle w:val="whitespace-normal"/>
        <w:numPr>
          <w:ilvl w:val="0"/>
          <w:numId w:val="15"/>
        </w:numPr>
        <w:jc w:val="both"/>
      </w:pPr>
      <w:r>
        <w:t>MINERD · Ministerio de Educación · Resultados PISA 2022</w:t>
      </w:r>
    </w:p>
    <w:p w14:paraId="489A3439" w14:textId="77777777" w:rsidR="00B901B2" w:rsidRDefault="00B901B2" w:rsidP="001B7A22">
      <w:pPr>
        <w:pStyle w:val="whitespace-normal"/>
        <w:numPr>
          <w:ilvl w:val="0"/>
          <w:numId w:val="15"/>
        </w:numPr>
        <w:jc w:val="both"/>
      </w:pPr>
      <w:r>
        <w:t>MIVED · Ministerio de la Vivienda y Edificaciones</w:t>
      </w:r>
    </w:p>
    <w:p w14:paraId="5ED25BA7" w14:textId="77777777" w:rsidR="00B901B2" w:rsidRDefault="00B901B2" w:rsidP="001B7A22">
      <w:pPr>
        <w:pStyle w:val="whitespace-normal"/>
        <w:numPr>
          <w:ilvl w:val="0"/>
          <w:numId w:val="15"/>
        </w:numPr>
        <w:jc w:val="both"/>
      </w:pPr>
      <w:r>
        <w:t>INTRANT · Instituto Nacional de Tránsito y Transporte Terrestre</w:t>
      </w:r>
    </w:p>
    <w:p w14:paraId="4712F38E" w14:textId="77777777" w:rsidR="00B901B2" w:rsidRDefault="00B901B2" w:rsidP="001B7A22">
      <w:pPr>
        <w:pStyle w:val="whitespace-normal"/>
        <w:numPr>
          <w:ilvl w:val="0"/>
          <w:numId w:val="15"/>
        </w:numPr>
        <w:jc w:val="both"/>
      </w:pPr>
      <w:r>
        <w:t>ONAMET · Oficina Nacional de Meteorología</w:t>
      </w:r>
    </w:p>
    <w:p w14:paraId="3D1658EA" w14:textId="77777777" w:rsidR="00B901B2" w:rsidRDefault="00B901B2" w:rsidP="001B7A22">
      <w:pPr>
        <w:pStyle w:val="whitespace-normal"/>
        <w:numPr>
          <w:ilvl w:val="0"/>
          <w:numId w:val="15"/>
        </w:numPr>
        <w:jc w:val="both"/>
      </w:pPr>
      <w:r>
        <w:t>ADN · Ayuntamiento del Distrito Nacional</w:t>
      </w:r>
    </w:p>
    <w:p w14:paraId="1D5DEA0B" w14:textId="77777777" w:rsidR="00B901B2" w:rsidRDefault="00B901B2" w:rsidP="001B7A22">
      <w:pPr>
        <w:pStyle w:val="whitespace-normal"/>
        <w:numPr>
          <w:ilvl w:val="0"/>
          <w:numId w:val="15"/>
        </w:numPr>
        <w:jc w:val="both"/>
      </w:pPr>
      <w:r>
        <w:t>CAASD · Corporación del Acueducto y Alcantarillado de Santo Domingo</w:t>
      </w:r>
    </w:p>
    <w:p w14:paraId="36E86417" w14:textId="77777777" w:rsidR="00B901B2" w:rsidRDefault="00B901B2" w:rsidP="001B7A22">
      <w:pPr>
        <w:pStyle w:val="whitespace-normal"/>
        <w:numPr>
          <w:ilvl w:val="0"/>
          <w:numId w:val="15"/>
        </w:numPr>
        <w:jc w:val="both"/>
      </w:pPr>
      <w:r>
        <w:t>DIGESETT · Dirección General de Seguridad de Tránsito y Transporte Terrestre</w:t>
      </w:r>
    </w:p>
    <w:p w14:paraId="0C5493C3" w14:textId="77777777" w:rsidR="00B901B2" w:rsidRDefault="00B901B2" w:rsidP="001B7A22">
      <w:pPr>
        <w:pStyle w:val="font-claude-response-body"/>
        <w:jc w:val="both"/>
      </w:pPr>
      <w:r>
        <w:rPr>
          <w:rStyle w:val="Fuerte"/>
        </w:rPr>
        <w:t>Organismos internacionales</w:t>
      </w:r>
    </w:p>
    <w:p w14:paraId="23B5454E" w14:textId="77777777" w:rsidR="00B901B2" w:rsidRDefault="00B901B2" w:rsidP="001B7A22">
      <w:pPr>
        <w:pStyle w:val="whitespace-normal"/>
        <w:numPr>
          <w:ilvl w:val="0"/>
          <w:numId w:val="16"/>
        </w:numPr>
        <w:jc w:val="both"/>
      </w:pPr>
      <w:r>
        <w:t>BID · Banco Interamericano de Desarrollo · Iniciativa Ciudades Emergentes y Sostenibles</w:t>
      </w:r>
    </w:p>
    <w:p w14:paraId="7C309447" w14:textId="77777777" w:rsidR="00B901B2" w:rsidRDefault="00B901B2" w:rsidP="001B7A22">
      <w:pPr>
        <w:pStyle w:val="whitespace-normal"/>
        <w:numPr>
          <w:ilvl w:val="0"/>
          <w:numId w:val="16"/>
        </w:numPr>
        <w:jc w:val="both"/>
      </w:pPr>
      <w:r>
        <w:t>Banco Mundial · Reportes de Urbanización en América Latina y el Caribe</w:t>
      </w:r>
    </w:p>
    <w:p w14:paraId="6EB56AEA" w14:textId="77777777" w:rsidR="00B901B2" w:rsidRDefault="00B901B2" w:rsidP="001B7A22">
      <w:pPr>
        <w:pStyle w:val="whitespace-normal"/>
        <w:numPr>
          <w:ilvl w:val="0"/>
          <w:numId w:val="16"/>
        </w:numPr>
        <w:jc w:val="both"/>
      </w:pPr>
      <w:r>
        <w:t>ONU-Hábitat · Nueva Agenda Urbana</w:t>
      </w:r>
    </w:p>
    <w:p w14:paraId="40D38E44" w14:textId="77777777" w:rsidR="00B901B2" w:rsidRDefault="00B901B2" w:rsidP="001B7A22">
      <w:pPr>
        <w:pStyle w:val="whitespace-normal"/>
        <w:numPr>
          <w:ilvl w:val="0"/>
          <w:numId w:val="16"/>
        </w:numPr>
        <w:jc w:val="both"/>
      </w:pPr>
      <w:r>
        <w:t>AFD · Agencia Francesa de Desarrollo</w:t>
      </w:r>
    </w:p>
    <w:p w14:paraId="0F0598E7" w14:textId="77777777" w:rsidR="00B901B2" w:rsidRDefault="00B901B2" w:rsidP="001B7A22">
      <w:pPr>
        <w:pStyle w:val="whitespace-normal"/>
        <w:numPr>
          <w:ilvl w:val="0"/>
          <w:numId w:val="16"/>
        </w:numPr>
        <w:jc w:val="both"/>
      </w:pPr>
      <w:r>
        <w:t>OCDE/PISA · Programa para la Evaluación Internacional de Alumnos 2022</w:t>
      </w:r>
    </w:p>
    <w:p w14:paraId="64C7935B" w14:textId="77777777" w:rsidR="00B901B2" w:rsidRPr="00B901B2" w:rsidRDefault="00B901B2" w:rsidP="001B7A22">
      <w:pPr>
        <w:pStyle w:val="whitespace-normal"/>
        <w:numPr>
          <w:ilvl w:val="0"/>
          <w:numId w:val="16"/>
        </w:numPr>
        <w:jc w:val="both"/>
        <w:rPr>
          <w:lang w:val="en-US"/>
        </w:rPr>
      </w:pPr>
      <w:r w:rsidRPr="00B901B2">
        <w:rPr>
          <w:lang w:val="en-US"/>
        </w:rPr>
        <w:t xml:space="preserve">ICMA · Green Bond Principles </w:t>
      </w:r>
      <w:proofErr w:type="gramStart"/>
      <w:r w:rsidRPr="00B901B2">
        <w:rPr>
          <w:lang w:val="en-US"/>
        </w:rPr>
        <w:t>y</w:t>
      </w:r>
      <w:proofErr w:type="gramEnd"/>
      <w:r w:rsidRPr="00B901B2">
        <w:rPr>
          <w:lang w:val="en-US"/>
        </w:rPr>
        <w:t xml:space="preserve"> Social Bond Principles</w:t>
      </w:r>
    </w:p>
    <w:p w14:paraId="576D0829" w14:textId="77777777" w:rsidR="00B901B2" w:rsidRDefault="00B901B2" w:rsidP="001B7A22">
      <w:pPr>
        <w:pStyle w:val="font-claude-response-body"/>
        <w:jc w:val="both"/>
      </w:pPr>
      <w:r>
        <w:rPr>
          <w:rStyle w:val="Fuerte"/>
        </w:rPr>
        <w:t>Casos de referencia internacional</w:t>
      </w:r>
    </w:p>
    <w:p w14:paraId="0CDF01A3" w14:textId="77777777" w:rsidR="00B901B2" w:rsidRDefault="00B901B2" w:rsidP="001B7A22">
      <w:pPr>
        <w:pStyle w:val="whitespace-normal"/>
        <w:numPr>
          <w:ilvl w:val="0"/>
          <w:numId w:val="17"/>
        </w:numPr>
        <w:jc w:val="both"/>
      </w:pPr>
      <w:r>
        <w:t>Río de Janeiro, Brasil · Centro de Operações Rio (COR)</w:t>
      </w:r>
    </w:p>
    <w:p w14:paraId="624E7D8A" w14:textId="77777777" w:rsidR="00B901B2" w:rsidRDefault="00B901B2" w:rsidP="001B7A22">
      <w:pPr>
        <w:pStyle w:val="whitespace-normal"/>
        <w:numPr>
          <w:ilvl w:val="0"/>
          <w:numId w:val="17"/>
        </w:numPr>
        <w:jc w:val="both"/>
      </w:pPr>
      <w:r>
        <w:t>Medellín, Colombia · Ruta N, distrito de innovación</w:t>
      </w:r>
    </w:p>
    <w:p w14:paraId="7833013A" w14:textId="77777777" w:rsidR="00B901B2" w:rsidRDefault="00B901B2" w:rsidP="001B7A22">
      <w:pPr>
        <w:pStyle w:val="whitespace-normal"/>
        <w:numPr>
          <w:ilvl w:val="0"/>
          <w:numId w:val="17"/>
        </w:numPr>
        <w:jc w:val="both"/>
      </w:pPr>
      <w:r>
        <w:t>Curitiba, Brasil · Sistema integrado de transporte BRT</w:t>
      </w:r>
    </w:p>
    <w:p w14:paraId="57C31610" w14:textId="77777777" w:rsidR="00B901B2" w:rsidRDefault="00B901B2" w:rsidP="001B7A22">
      <w:pPr>
        <w:pStyle w:val="whitespace-normal"/>
        <w:numPr>
          <w:ilvl w:val="0"/>
          <w:numId w:val="17"/>
        </w:numPr>
        <w:jc w:val="both"/>
      </w:pPr>
      <w:r>
        <w:t>Estonia · Modelo de identidad digital única y servicios gubernamentales en línea</w:t>
      </w:r>
    </w:p>
    <w:p w14:paraId="723257B9" w14:textId="77777777" w:rsidR="00B901B2" w:rsidRDefault="00B901B2" w:rsidP="001B7A22">
      <w:pPr>
        <w:pStyle w:val="whitespace-normal"/>
        <w:numPr>
          <w:ilvl w:val="0"/>
          <w:numId w:val="17"/>
        </w:numPr>
        <w:jc w:val="both"/>
      </w:pPr>
      <w:r>
        <w:t>Singapur · Smart Nation y gemelo digital urbano</w:t>
      </w:r>
    </w:p>
    <w:p w14:paraId="105C5456" w14:textId="77777777" w:rsidR="00B901B2" w:rsidRDefault="00B901B2" w:rsidP="001B7A22">
      <w:pPr>
        <w:pStyle w:val="whitespace-normal"/>
        <w:numPr>
          <w:ilvl w:val="0"/>
          <w:numId w:val="17"/>
        </w:numPr>
        <w:jc w:val="both"/>
      </w:pPr>
      <w:r>
        <w:t>Rotterdam, Países Bajos · Estrategia de adaptación climática urbana</w:t>
      </w:r>
    </w:p>
    <w:p w14:paraId="411C31F2" w14:textId="77777777" w:rsidR="00B901B2" w:rsidRDefault="00B901B2" w:rsidP="001B7A22">
      <w:pPr>
        <w:pStyle w:val="font-claude-response-body"/>
        <w:jc w:val="both"/>
      </w:pPr>
      <w:r>
        <w:rPr>
          <w:rStyle w:val="Fuerte"/>
        </w:rPr>
        <w:lastRenderedPageBreak/>
        <w:t>Documentación técnica</w:t>
      </w:r>
    </w:p>
    <w:p w14:paraId="71B4EE6C" w14:textId="77777777" w:rsidR="00B901B2" w:rsidRDefault="00B901B2" w:rsidP="001B7A22">
      <w:pPr>
        <w:pStyle w:val="whitespace-normal"/>
        <w:numPr>
          <w:ilvl w:val="0"/>
          <w:numId w:val="18"/>
        </w:numPr>
        <w:jc w:val="both"/>
      </w:pPr>
      <w:r>
        <w:t>Actuana Academy · Sistema de monitoreo ambiental con sensores ESP32 · Santo Domingo, 2025–2026</w:t>
      </w:r>
    </w:p>
    <w:p w14:paraId="452B9973" w14:textId="77777777" w:rsidR="00B901B2" w:rsidRDefault="00B901B2" w:rsidP="001B7A22">
      <w:pPr>
        <w:pStyle w:val="whitespace-normal"/>
        <w:numPr>
          <w:ilvl w:val="0"/>
          <w:numId w:val="18"/>
        </w:numPr>
        <w:jc w:val="both"/>
      </w:pPr>
      <w:r>
        <w:t>Actuana Academy · Programa STEAM de robótica educativa · Documentación curricular, 2021–2026</w:t>
      </w:r>
    </w:p>
    <w:p w14:paraId="23A0082A" w14:textId="77777777" w:rsidR="00B901B2" w:rsidRDefault="00B901B2" w:rsidP="001B7A22">
      <w:pPr>
        <w:jc w:val="both"/>
      </w:pPr>
    </w:p>
    <w:p w14:paraId="3894268B" w14:textId="77777777" w:rsidR="007D4EE9" w:rsidRDefault="007D4EE9" w:rsidP="001B7A22">
      <w:pPr>
        <w:jc w:val="both"/>
      </w:pPr>
    </w:p>
    <w:p w14:paraId="197EC3F7" w14:textId="77777777" w:rsidR="007D4EE9" w:rsidRDefault="007D4EE9" w:rsidP="007D4EE9">
      <w:pPr>
        <w:jc w:val="both"/>
      </w:pPr>
    </w:p>
    <w:p w14:paraId="755EF254" w14:textId="77777777" w:rsidR="007D4EE9" w:rsidRPr="007D4EE9" w:rsidRDefault="007D4EE9" w:rsidP="007D4EE9">
      <w:pPr>
        <w:jc w:val="both"/>
      </w:pPr>
    </w:p>
    <w:p w14:paraId="67E91BEE" w14:textId="77777777" w:rsidR="0023720B" w:rsidRDefault="0023720B"/>
    <w:sectPr w:rsidR="0023720B" w:rsidSect="00FD525D">
      <w:headerReference w:type="default" r:id="rId9"/>
      <w:footerReference w:type="even"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D8579" w14:textId="77777777" w:rsidR="00CA7FBE" w:rsidRDefault="00CA7FBE">
      <w:r>
        <w:separator/>
      </w:r>
    </w:p>
  </w:endnote>
  <w:endnote w:type="continuationSeparator" w:id="0">
    <w:p w14:paraId="6BA8BB53" w14:textId="77777777" w:rsidR="00CA7FBE" w:rsidRDefault="00CA7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44637711"/>
      <w:docPartObj>
        <w:docPartGallery w:val="Page Numbers (Bottom of Page)"/>
        <w:docPartUnique/>
      </w:docPartObj>
    </w:sdtPr>
    <w:sdtContent>
      <w:p w14:paraId="1E1BF7E2" w14:textId="76879F93" w:rsidR="00FD525D" w:rsidRDefault="00FD525D" w:rsidP="007F2BA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2CDD974" w14:textId="77777777" w:rsidR="00FD525D" w:rsidRDefault="00FD525D" w:rsidP="00FD525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160852"/>
      <w:docPartObj>
        <w:docPartGallery w:val="Page Numbers (Bottom of Page)"/>
        <w:docPartUnique/>
      </w:docPartObj>
    </w:sdtPr>
    <w:sdtContent>
      <w:p w14:paraId="619B5396" w14:textId="0B32A9D5" w:rsidR="00FD525D" w:rsidRDefault="00FD525D" w:rsidP="00FD525D">
        <w:pPr>
          <w:pStyle w:val="Piedepgina"/>
          <w:framePr w:wrap="none" w:vAnchor="text" w:hAnchor="page" w:x="11028" w:y="18"/>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w:t>
        </w:r>
        <w:r>
          <w:rPr>
            <w:rStyle w:val="Nmerodepgina"/>
          </w:rPr>
          <w:fldChar w:fldCharType="end"/>
        </w:r>
      </w:p>
    </w:sdtContent>
  </w:sdt>
  <w:p w14:paraId="61C71F80" w14:textId="58F77A70" w:rsidR="00445047" w:rsidRDefault="00000000" w:rsidP="00FD525D">
    <w:pPr>
      <w:pBdr>
        <w:top w:val="single" w:sz="4" w:space="1" w:color="B8962E"/>
      </w:pBdr>
      <w:ind w:right="360"/>
    </w:pPr>
    <w:r>
      <w:rPr>
        <w:color w:val="888888"/>
        <w:sz w:val="18"/>
        <w:szCs w:val="18"/>
      </w:rPr>
      <w:t>Universidad Abierta para Adultos (UAPA)  |  Santo Domingo, República Dominicana  |  5 de mayo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0285" w14:textId="77777777" w:rsidR="00CA7FBE" w:rsidRDefault="00CA7FBE">
      <w:r>
        <w:separator/>
      </w:r>
    </w:p>
  </w:footnote>
  <w:footnote w:type="continuationSeparator" w:id="0">
    <w:p w14:paraId="0BA67F88" w14:textId="77777777" w:rsidR="00CA7FBE" w:rsidRDefault="00CA7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577F" w14:textId="77777777" w:rsidR="00445047" w:rsidRDefault="00000000">
    <w:pPr>
      <w:pBdr>
        <w:bottom w:val="single" w:sz="4" w:space="1" w:color="B8962E"/>
      </w:pBdr>
    </w:pPr>
    <w:r>
      <w:rPr>
        <w:color w:val="888888"/>
        <w:sz w:val="18"/>
        <w:szCs w:val="18"/>
      </w:rPr>
      <w:t>UAPA  |  Ciudad del Futuro 2036  |  Desafío Finanzas &amp; Real Estate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A7E"/>
    <w:multiLevelType w:val="multilevel"/>
    <w:tmpl w:val="822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1483"/>
    <w:multiLevelType w:val="multilevel"/>
    <w:tmpl w:val="2F4E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32A8F"/>
    <w:multiLevelType w:val="hybridMultilevel"/>
    <w:tmpl w:val="D4FC41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0E6A85"/>
    <w:multiLevelType w:val="multilevel"/>
    <w:tmpl w:val="6AF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D7498"/>
    <w:multiLevelType w:val="multilevel"/>
    <w:tmpl w:val="5AAC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15822"/>
    <w:multiLevelType w:val="multilevel"/>
    <w:tmpl w:val="CD30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B3A3F"/>
    <w:multiLevelType w:val="multilevel"/>
    <w:tmpl w:val="A54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C4C4E"/>
    <w:multiLevelType w:val="multilevel"/>
    <w:tmpl w:val="24F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E4E8A"/>
    <w:multiLevelType w:val="multilevel"/>
    <w:tmpl w:val="812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D38EE"/>
    <w:multiLevelType w:val="multilevel"/>
    <w:tmpl w:val="852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85D0C"/>
    <w:multiLevelType w:val="multilevel"/>
    <w:tmpl w:val="C71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D6181"/>
    <w:multiLevelType w:val="multilevel"/>
    <w:tmpl w:val="9BFA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C0C1B"/>
    <w:multiLevelType w:val="multilevel"/>
    <w:tmpl w:val="28A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84D16"/>
    <w:multiLevelType w:val="multilevel"/>
    <w:tmpl w:val="068C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B18FE"/>
    <w:multiLevelType w:val="multilevel"/>
    <w:tmpl w:val="DE42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C6C12"/>
    <w:multiLevelType w:val="multilevel"/>
    <w:tmpl w:val="84A8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479B2"/>
    <w:multiLevelType w:val="multilevel"/>
    <w:tmpl w:val="D61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21101"/>
    <w:multiLevelType w:val="multilevel"/>
    <w:tmpl w:val="0B2C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13934"/>
    <w:multiLevelType w:val="multilevel"/>
    <w:tmpl w:val="9084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C378E"/>
    <w:multiLevelType w:val="multilevel"/>
    <w:tmpl w:val="FBF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01140"/>
    <w:multiLevelType w:val="hybridMultilevel"/>
    <w:tmpl w:val="0E201DB0"/>
    <w:lvl w:ilvl="0" w:tplc="434AF95A">
      <w:start w:val="1"/>
      <w:numFmt w:val="bullet"/>
      <w:lvlText w:val="●"/>
      <w:lvlJc w:val="left"/>
      <w:pPr>
        <w:ind w:left="720" w:hanging="360"/>
      </w:pPr>
    </w:lvl>
    <w:lvl w:ilvl="1" w:tplc="BD528C7E">
      <w:start w:val="1"/>
      <w:numFmt w:val="bullet"/>
      <w:lvlText w:val="○"/>
      <w:lvlJc w:val="left"/>
      <w:pPr>
        <w:ind w:left="1440" w:hanging="360"/>
      </w:pPr>
    </w:lvl>
    <w:lvl w:ilvl="2" w:tplc="4DDA0A34">
      <w:start w:val="1"/>
      <w:numFmt w:val="bullet"/>
      <w:lvlText w:val="■"/>
      <w:lvlJc w:val="left"/>
      <w:pPr>
        <w:ind w:left="2160" w:hanging="360"/>
      </w:pPr>
    </w:lvl>
    <w:lvl w:ilvl="3" w:tplc="D2B6250C">
      <w:start w:val="1"/>
      <w:numFmt w:val="bullet"/>
      <w:lvlText w:val="●"/>
      <w:lvlJc w:val="left"/>
      <w:pPr>
        <w:ind w:left="2880" w:hanging="360"/>
      </w:pPr>
    </w:lvl>
    <w:lvl w:ilvl="4" w:tplc="84BCBD6E">
      <w:start w:val="1"/>
      <w:numFmt w:val="bullet"/>
      <w:lvlText w:val="○"/>
      <w:lvlJc w:val="left"/>
      <w:pPr>
        <w:ind w:left="3600" w:hanging="360"/>
      </w:pPr>
    </w:lvl>
    <w:lvl w:ilvl="5" w:tplc="A75881E2">
      <w:start w:val="1"/>
      <w:numFmt w:val="bullet"/>
      <w:lvlText w:val="■"/>
      <w:lvlJc w:val="left"/>
      <w:pPr>
        <w:ind w:left="4320" w:hanging="360"/>
      </w:pPr>
    </w:lvl>
    <w:lvl w:ilvl="6" w:tplc="443071BE">
      <w:start w:val="1"/>
      <w:numFmt w:val="bullet"/>
      <w:lvlText w:val="●"/>
      <w:lvlJc w:val="left"/>
      <w:pPr>
        <w:ind w:left="5040" w:hanging="360"/>
      </w:pPr>
    </w:lvl>
    <w:lvl w:ilvl="7" w:tplc="E480B136">
      <w:start w:val="1"/>
      <w:numFmt w:val="bullet"/>
      <w:lvlText w:val="●"/>
      <w:lvlJc w:val="left"/>
      <w:pPr>
        <w:ind w:left="5760" w:hanging="360"/>
      </w:pPr>
    </w:lvl>
    <w:lvl w:ilvl="8" w:tplc="EDA2E8F8">
      <w:start w:val="1"/>
      <w:numFmt w:val="bullet"/>
      <w:lvlText w:val="●"/>
      <w:lvlJc w:val="left"/>
      <w:pPr>
        <w:ind w:left="6480" w:hanging="360"/>
      </w:pPr>
    </w:lvl>
  </w:abstractNum>
  <w:abstractNum w:abstractNumId="21" w15:restartNumberingAfterBreak="0">
    <w:nsid w:val="594C72D5"/>
    <w:multiLevelType w:val="multilevel"/>
    <w:tmpl w:val="67B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206AF"/>
    <w:multiLevelType w:val="hybridMultilevel"/>
    <w:tmpl w:val="31E0DF14"/>
    <w:lvl w:ilvl="0" w:tplc="A5A2C44C">
      <w:start w:val="1"/>
      <w:numFmt w:val="bullet"/>
      <w:lvlText w:val="•"/>
      <w:lvlJc w:val="left"/>
      <w:pPr>
        <w:ind w:left="720" w:hanging="360"/>
      </w:pPr>
    </w:lvl>
    <w:lvl w:ilvl="1" w:tplc="1C58B044">
      <w:start w:val="1"/>
      <w:numFmt w:val="bullet"/>
      <w:lvlText w:val="◦"/>
      <w:lvlJc w:val="left"/>
      <w:pPr>
        <w:ind w:left="1080" w:hanging="360"/>
      </w:pPr>
    </w:lvl>
    <w:lvl w:ilvl="2" w:tplc="D694A962">
      <w:numFmt w:val="decimal"/>
      <w:lvlText w:val=""/>
      <w:lvlJc w:val="left"/>
    </w:lvl>
    <w:lvl w:ilvl="3" w:tplc="C086855C">
      <w:numFmt w:val="decimal"/>
      <w:lvlText w:val=""/>
      <w:lvlJc w:val="left"/>
    </w:lvl>
    <w:lvl w:ilvl="4" w:tplc="B99E78F0">
      <w:numFmt w:val="decimal"/>
      <w:lvlText w:val=""/>
      <w:lvlJc w:val="left"/>
    </w:lvl>
    <w:lvl w:ilvl="5" w:tplc="2D321DB4">
      <w:numFmt w:val="decimal"/>
      <w:lvlText w:val=""/>
      <w:lvlJc w:val="left"/>
    </w:lvl>
    <w:lvl w:ilvl="6" w:tplc="CC14A226">
      <w:numFmt w:val="decimal"/>
      <w:lvlText w:val=""/>
      <w:lvlJc w:val="left"/>
    </w:lvl>
    <w:lvl w:ilvl="7" w:tplc="1FE87D2E">
      <w:numFmt w:val="decimal"/>
      <w:lvlText w:val=""/>
      <w:lvlJc w:val="left"/>
    </w:lvl>
    <w:lvl w:ilvl="8" w:tplc="E3DAE62E">
      <w:numFmt w:val="decimal"/>
      <w:lvlText w:val=""/>
      <w:lvlJc w:val="left"/>
    </w:lvl>
  </w:abstractNum>
  <w:abstractNum w:abstractNumId="23" w15:restartNumberingAfterBreak="0">
    <w:nsid w:val="6BE61ACF"/>
    <w:multiLevelType w:val="multilevel"/>
    <w:tmpl w:val="58D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C6671"/>
    <w:multiLevelType w:val="multilevel"/>
    <w:tmpl w:val="A8F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E3237"/>
    <w:multiLevelType w:val="hybridMultilevel"/>
    <w:tmpl w:val="270070CE"/>
    <w:lvl w:ilvl="0" w:tplc="0ED69D1E">
      <w:start w:val="1"/>
      <w:numFmt w:val="decimal"/>
      <w:lvlText w:val="%1."/>
      <w:lvlJc w:val="left"/>
      <w:pPr>
        <w:ind w:left="720" w:hanging="360"/>
      </w:pPr>
    </w:lvl>
    <w:lvl w:ilvl="1" w:tplc="1DE07672">
      <w:numFmt w:val="decimal"/>
      <w:lvlText w:val=""/>
      <w:lvlJc w:val="left"/>
    </w:lvl>
    <w:lvl w:ilvl="2" w:tplc="90A2F982">
      <w:numFmt w:val="decimal"/>
      <w:lvlText w:val=""/>
      <w:lvlJc w:val="left"/>
    </w:lvl>
    <w:lvl w:ilvl="3" w:tplc="BBCACC3E">
      <w:numFmt w:val="decimal"/>
      <w:lvlText w:val=""/>
      <w:lvlJc w:val="left"/>
    </w:lvl>
    <w:lvl w:ilvl="4" w:tplc="E17ABCA6">
      <w:numFmt w:val="decimal"/>
      <w:lvlText w:val=""/>
      <w:lvlJc w:val="left"/>
    </w:lvl>
    <w:lvl w:ilvl="5" w:tplc="B96637EC">
      <w:numFmt w:val="decimal"/>
      <w:lvlText w:val=""/>
      <w:lvlJc w:val="left"/>
    </w:lvl>
    <w:lvl w:ilvl="6" w:tplc="D702FBF8">
      <w:numFmt w:val="decimal"/>
      <w:lvlText w:val=""/>
      <w:lvlJc w:val="left"/>
    </w:lvl>
    <w:lvl w:ilvl="7" w:tplc="15781D64">
      <w:numFmt w:val="decimal"/>
      <w:lvlText w:val=""/>
      <w:lvlJc w:val="left"/>
    </w:lvl>
    <w:lvl w:ilvl="8" w:tplc="083EAD2E">
      <w:numFmt w:val="decimal"/>
      <w:lvlText w:val=""/>
      <w:lvlJc w:val="left"/>
    </w:lvl>
  </w:abstractNum>
  <w:abstractNum w:abstractNumId="26" w15:restartNumberingAfterBreak="0">
    <w:nsid w:val="7B30251C"/>
    <w:multiLevelType w:val="multilevel"/>
    <w:tmpl w:val="AD0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C0A53"/>
    <w:multiLevelType w:val="multilevel"/>
    <w:tmpl w:val="8D4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061391">
    <w:abstractNumId w:val="20"/>
    <w:lvlOverride w:ilvl="0">
      <w:startOverride w:val="1"/>
    </w:lvlOverride>
  </w:num>
  <w:num w:numId="2" w16cid:durableId="768891718">
    <w:abstractNumId w:val="22"/>
    <w:lvlOverride w:ilvl="0">
      <w:startOverride w:val="1"/>
    </w:lvlOverride>
  </w:num>
  <w:num w:numId="3" w16cid:durableId="1687051436">
    <w:abstractNumId w:val="3"/>
  </w:num>
  <w:num w:numId="4" w16cid:durableId="1321428614">
    <w:abstractNumId w:val="27"/>
  </w:num>
  <w:num w:numId="5" w16cid:durableId="1039547112">
    <w:abstractNumId w:val="11"/>
  </w:num>
  <w:num w:numId="6" w16cid:durableId="1362783929">
    <w:abstractNumId w:val="5"/>
  </w:num>
  <w:num w:numId="7" w16cid:durableId="1219129925">
    <w:abstractNumId w:val="1"/>
  </w:num>
  <w:num w:numId="8" w16cid:durableId="1738673774">
    <w:abstractNumId w:val="0"/>
  </w:num>
  <w:num w:numId="9" w16cid:durableId="1713649460">
    <w:abstractNumId w:val="14"/>
  </w:num>
  <w:num w:numId="10" w16cid:durableId="2056585290">
    <w:abstractNumId w:val="13"/>
  </w:num>
  <w:num w:numId="11" w16cid:durableId="1325357529">
    <w:abstractNumId w:val="18"/>
  </w:num>
  <w:num w:numId="12" w16cid:durableId="1829008010">
    <w:abstractNumId w:val="8"/>
  </w:num>
  <w:num w:numId="13" w16cid:durableId="852645741">
    <w:abstractNumId w:val="16"/>
  </w:num>
  <w:num w:numId="14" w16cid:durableId="1346786847">
    <w:abstractNumId w:val="17"/>
  </w:num>
  <w:num w:numId="15" w16cid:durableId="2056272096">
    <w:abstractNumId w:val="7"/>
  </w:num>
  <w:num w:numId="16" w16cid:durableId="379718005">
    <w:abstractNumId w:val="12"/>
  </w:num>
  <w:num w:numId="17" w16cid:durableId="1062826108">
    <w:abstractNumId w:val="23"/>
  </w:num>
  <w:num w:numId="18" w16cid:durableId="945578185">
    <w:abstractNumId w:val="4"/>
  </w:num>
  <w:num w:numId="19" w16cid:durableId="1828403981">
    <w:abstractNumId w:val="2"/>
  </w:num>
  <w:num w:numId="20" w16cid:durableId="655034901">
    <w:abstractNumId w:val="26"/>
  </w:num>
  <w:num w:numId="21" w16cid:durableId="1648243763">
    <w:abstractNumId w:val="24"/>
  </w:num>
  <w:num w:numId="22" w16cid:durableId="1569074906">
    <w:abstractNumId w:val="6"/>
  </w:num>
  <w:num w:numId="23" w16cid:durableId="1368067306">
    <w:abstractNumId w:val="10"/>
  </w:num>
  <w:num w:numId="24" w16cid:durableId="279727236">
    <w:abstractNumId w:val="19"/>
  </w:num>
  <w:num w:numId="25" w16cid:durableId="2042823615">
    <w:abstractNumId w:val="9"/>
  </w:num>
  <w:num w:numId="26" w16cid:durableId="95711467">
    <w:abstractNumId w:val="21"/>
  </w:num>
  <w:num w:numId="27" w16cid:durableId="1302928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047"/>
    <w:rsid w:val="00147FD3"/>
    <w:rsid w:val="001B7A22"/>
    <w:rsid w:val="0023720B"/>
    <w:rsid w:val="0033053D"/>
    <w:rsid w:val="00445047"/>
    <w:rsid w:val="004E62C5"/>
    <w:rsid w:val="00565ECB"/>
    <w:rsid w:val="006C5289"/>
    <w:rsid w:val="00777ED6"/>
    <w:rsid w:val="007A2240"/>
    <w:rsid w:val="007C4D9F"/>
    <w:rsid w:val="007D4EE9"/>
    <w:rsid w:val="00875CCF"/>
    <w:rsid w:val="00942565"/>
    <w:rsid w:val="00B901B2"/>
    <w:rsid w:val="00C00637"/>
    <w:rsid w:val="00CA7FBE"/>
    <w:rsid w:val="00EC566C"/>
    <w:rsid w:val="00F12D88"/>
    <w:rsid w:val="00F974A8"/>
    <w:rsid w:val="00FD525D"/>
    <w:rsid w:val="00FF785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6AAB8"/>
  <w15:docId w15:val="{A3659233-0D05-DF49-A898-64B22B8D7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FFFFFF"/>
      <w:sz w:val="36"/>
      <w:szCs w:val="36"/>
    </w:rPr>
  </w:style>
  <w:style w:type="paragraph" w:styleId="Ttulo2">
    <w:name w:val="heading 2"/>
    <w:uiPriority w:val="9"/>
    <w:unhideWhenUsed/>
    <w:qFormat/>
    <w:pPr>
      <w:spacing w:before="280" w:after="160"/>
      <w:outlineLvl w:val="1"/>
    </w:pPr>
    <w:rPr>
      <w:b/>
      <w:bCs/>
      <w:color w:val="0A1628"/>
      <w:sz w:val="28"/>
      <w:szCs w:val="28"/>
    </w:rPr>
  </w:style>
  <w:style w:type="paragraph" w:styleId="Ttulo3">
    <w:name w:val="heading 3"/>
    <w:uiPriority w:val="9"/>
    <w:unhideWhenUsed/>
    <w:qFormat/>
    <w:pPr>
      <w:spacing w:before="200" w:after="120"/>
      <w:outlineLvl w:val="2"/>
    </w:pPr>
    <w:rPr>
      <w:b/>
      <w:bCs/>
      <w:color w:val="1B6CA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33053D"/>
    <w:rPr>
      <w:rFonts w:ascii="Helvetica" w:eastAsia="Times New Roman" w:hAnsi="Helvetica" w:cs="Times New Roman"/>
      <w:color w:val="474747"/>
      <w:sz w:val="14"/>
      <w:szCs w:val="14"/>
    </w:rPr>
  </w:style>
  <w:style w:type="paragraph" w:customStyle="1" w:styleId="p2">
    <w:name w:val="p2"/>
    <w:basedOn w:val="Normal"/>
    <w:rsid w:val="0033053D"/>
    <w:rPr>
      <w:rFonts w:ascii="Helvetica" w:eastAsia="Times New Roman" w:hAnsi="Helvetica" w:cs="Times New Roman"/>
      <w:color w:val="2560A7"/>
      <w:sz w:val="17"/>
      <w:szCs w:val="17"/>
    </w:rPr>
  </w:style>
  <w:style w:type="paragraph" w:customStyle="1" w:styleId="p3">
    <w:name w:val="p3"/>
    <w:basedOn w:val="Normal"/>
    <w:rsid w:val="0033053D"/>
    <w:rPr>
      <w:rFonts w:ascii="Helvetica" w:eastAsia="Times New Roman" w:hAnsi="Helvetica" w:cs="Times New Roman"/>
      <w:color w:val="193C66"/>
      <w:sz w:val="20"/>
      <w:szCs w:val="20"/>
    </w:rPr>
  </w:style>
  <w:style w:type="paragraph" w:customStyle="1" w:styleId="p4">
    <w:name w:val="p4"/>
    <w:basedOn w:val="Normal"/>
    <w:rsid w:val="0033053D"/>
    <w:rPr>
      <w:rFonts w:ascii="Helvetica" w:eastAsia="Times New Roman" w:hAnsi="Helvetica" w:cs="Times New Roman"/>
      <w:color w:val="474747"/>
      <w:sz w:val="15"/>
      <w:szCs w:val="15"/>
    </w:rPr>
  </w:style>
  <w:style w:type="paragraph" w:styleId="Encabezado">
    <w:name w:val="header"/>
    <w:basedOn w:val="Normal"/>
    <w:link w:val="EncabezadoCar"/>
    <w:uiPriority w:val="99"/>
    <w:unhideWhenUsed/>
    <w:rsid w:val="0033053D"/>
    <w:pPr>
      <w:tabs>
        <w:tab w:val="center" w:pos="4419"/>
        <w:tab w:val="right" w:pos="8838"/>
      </w:tabs>
    </w:pPr>
  </w:style>
  <w:style w:type="character" w:customStyle="1" w:styleId="EncabezadoCar">
    <w:name w:val="Encabezado Car"/>
    <w:basedOn w:val="Fuentedeprrafopredeter"/>
    <w:link w:val="Encabezado"/>
    <w:uiPriority w:val="99"/>
    <w:rsid w:val="0033053D"/>
  </w:style>
  <w:style w:type="paragraph" w:styleId="Piedepgina">
    <w:name w:val="footer"/>
    <w:basedOn w:val="Normal"/>
    <w:link w:val="PiedepginaCar"/>
    <w:uiPriority w:val="99"/>
    <w:unhideWhenUsed/>
    <w:rsid w:val="0033053D"/>
    <w:pPr>
      <w:tabs>
        <w:tab w:val="center" w:pos="4419"/>
        <w:tab w:val="right" w:pos="8838"/>
      </w:tabs>
    </w:pPr>
  </w:style>
  <w:style w:type="character" w:customStyle="1" w:styleId="PiedepginaCar">
    <w:name w:val="Pie de página Car"/>
    <w:basedOn w:val="Fuentedeprrafopredeter"/>
    <w:link w:val="Piedepgina"/>
    <w:uiPriority w:val="99"/>
    <w:rsid w:val="0033053D"/>
  </w:style>
  <w:style w:type="paragraph" w:customStyle="1" w:styleId="font-claude-response-body">
    <w:name w:val="font-claude-response-body"/>
    <w:basedOn w:val="Normal"/>
    <w:rsid w:val="007D4EE9"/>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7D4EE9"/>
    <w:rPr>
      <w:b/>
      <w:bCs/>
    </w:rPr>
  </w:style>
  <w:style w:type="paragraph" w:styleId="TtuloTDC">
    <w:name w:val="TOC Heading"/>
    <w:basedOn w:val="Ttulo1"/>
    <w:next w:val="Normal"/>
    <w:uiPriority w:val="39"/>
    <w:unhideWhenUsed/>
    <w:qFormat/>
    <w:rsid w:val="00777ED6"/>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DC2">
    <w:name w:val="toc 2"/>
    <w:basedOn w:val="Normal"/>
    <w:next w:val="Normal"/>
    <w:autoRedefine/>
    <w:uiPriority w:val="39"/>
    <w:unhideWhenUsed/>
    <w:rsid w:val="00777ED6"/>
    <w:rPr>
      <w:rFonts w:asciiTheme="minorHAnsi" w:hAnsiTheme="minorHAnsi"/>
      <w:b/>
      <w:bCs/>
      <w:smallCaps/>
    </w:rPr>
  </w:style>
  <w:style w:type="paragraph" w:styleId="TDC1">
    <w:name w:val="toc 1"/>
    <w:basedOn w:val="Normal"/>
    <w:next w:val="Normal"/>
    <w:autoRedefine/>
    <w:uiPriority w:val="39"/>
    <w:semiHidden/>
    <w:unhideWhenUsed/>
    <w:rsid w:val="00777ED6"/>
    <w:pPr>
      <w:spacing w:before="360" w:after="360"/>
    </w:pPr>
    <w:rPr>
      <w:rFonts w:asciiTheme="minorHAnsi" w:hAnsiTheme="minorHAnsi"/>
      <w:b/>
      <w:bCs/>
      <w:caps/>
      <w:u w:val="single"/>
    </w:rPr>
  </w:style>
  <w:style w:type="paragraph" w:styleId="TDC3">
    <w:name w:val="toc 3"/>
    <w:basedOn w:val="Normal"/>
    <w:next w:val="Normal"/>
    <w:autoRedefine/>
    <w:uiPriority w:val="39"/>
    <w:unhideWhenUsed/>
    <w:rsid w:val="00777ED6"/>
    <w:rPr>
      <w:rFonts w:asciiTheme="minorHAnsi" w:hAnsiTheme="minorHAnsi"/>
      <w:smallCaps/>
    </w:rPr>
  </w:style>
  <w:style w:type="paragraph" w:styleId="TDC4">
    <w:name w:val="toc 4"/>
    <w:basedOn w:val="Normal"/>
    <w:next w:val="Normal"/>
    <w:autoRedefine/>
    <w:uiPriority w:val="39"/>
    <w:semiHidden/>
    <w:unhideWhenUsed/>
    <w:rsid w:val="00777ED6"/>
    <w:rPr>
      <w:rFonts w:asciiTheme="minorHAnsi" w:hAnsiTheme="minorHAnsi"/>
    </w:rPr>
  </w:style>
  <w:style w:type="paragraph" w:styleId="TDC5">
    <w:name w:val="toc 5"/>
    <w:basedOn w:val="Normal"/>
    <w:next w:val="Normal"/>
    <w:autoRedefine/>
    <w:uiPriority w:val="39"/>
    <w:semiHidden/>
    <w:unhideWhenUsed/>
    <w:rsid w:val="00777ED6"/>
    <w:rPr>
      <w:rFonts w:asciiTheme="minorHAnsi" w:hAnsiTheme="minorHAnsi"/>
    </w:rPr>
  </w:style>
  <w:style w:type="paragraph" w:styleId="TDC6">
    <w:name w:val="toc 6"/>
    <w:basedOn w:val="Normal"/>
    <w:next w:val="Normal"/>
    <w:autoRedefine/>
    <w:uiPriority w:val="39"/>
    <w:semiHidden/>
    <w:unhideWhenUsed/>
    <w:rsid w:val="00777ED6"/>
    <w:rPr>
      <w:rFonts w:asciiTheme="minorHAnsi" w:hAnsiTheme="minorHAnsi"/>
    </w:rPr>
  </w:style>
  <w:style w:type="paragraph" w:styleId="TDC7">
    <w:name w:val="toc 7"/>
    <w:basedOn w:val="Normal"/>
    <w:next w:val="Normal"/>
    <w:autoRedefine/>
    <w:uiPriority w:val="39"/>
    <w:semiHidden/>
    <w:unhideWhenUsed/>
    <w:rsid w:val="00777ED6"/>
    <w:rPr>
      <w:rFonts w:asciiTheme="minorHAnsi" w:hAnsiTheme="minorHAnsi"/>
    </w:rPr>
  </w:style>
  <w:style w:type="paragraph" w:styleId="TDC8">
    <w:name w:val="toc 8"/>
    <w:basedOn w:val="Normal"/>
    <w:next w:val="Normal"/>
    <w:autoRedefine/>
    <w:uiPriority w:val="39"/>
    <w:semiHidden/>
    <w:unhideWhenUsed/>
    <w:rsid w:val="00777ED6"/>
    <w:rPr>
      <w:rFonts w:asciiTheme="minorHAnsi" w:hAnsiTheme="minorHAnsi"/>
    </w:rPr>
  </w:style>
  <w:style w:type="paragraph" w:styleId="TDC9">
    <w:name w:val="toc 9"/>
    <w:basedOn w:val="Normal"/>
    <w:next w:val="Normal"/>
    <w:autoRedefine/>
    <w:uiPriority w:val="39"/>
    <w:semiHidden/>
    <w:unhideWhenUsed/>
    <w:rsid w:val="00777ED6"/>
    <w:rPr>
      <w:rFonts w:asciiTheme="minorHAnsi" w:hAnsiTheme="minorHAnsi"/>
    </w:rPr>
  </w:style>
  <w:style w:type="paragraph" w:customStyle="1" w:styleId="whitespace-normal">
    <w:name w:val="whitespace-normal"/>
    <w:basedOn w:val="Normal"/>
    <w:rsid w:val="00777ED6"/>
    <w:pPr>
      <w:spacing w:before="100" w:beforeAutospacing="1" w:after="100" w:afterAutospacing="1"/>
    </w:pPr>
    <w:rPr>
      <w:rFonts w:ascii="Times New Roman" w:eastAsia="Times New Roman" w:hAnsi="Times New Roman" w:cs="Times New Roman"/>
      <w:sz w:val="24"/>
      <w:szCs w:val="24"/>
    </w:rPr>
  </w:style>
  <w:style w:type="character" w:styleId="Nmerodepgina">
    <w:name w:val="page number"/>
    <w:basedOn w:val="Fuentedeprrafopredeter"/>
    <w:uiPriority w:val="99"/>
    <w:semiHidden/>
    <w:unhideWhenUsed/>
    <w:rsid w:val="00FD525D"/>
  </w:style>
  <w:style w:type="table" w:styleId="Tablaconcuadrcula1clara-nfasis1">
    <w:name w:val="Grid Table 1 Light Accent 1"/>
    <w:basedOn w:val="Tablanormal"/>
    <w:uiPriority w:val="46"/>
    <w:rsid w:val="00FD525D"/>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FD525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nfasis">
    <w:name w:val="Emphasis"/>
    <w:basedOn w:val="Fuentedeprrafopredeter"/>
    <w:uiPriority w:val="20"/>
    <w:qFormat/>
    <w:rsid w:val="00C00637"/>
    <w:rPr>
      <w:i/>
      <w:iCs/>
    </w:rPr>
  </w:style>
  <w:style w:type="paragraph" w:styleId="NormalWeb">
    <w:name w:val="Normal (Web)"/>
    <w:basedOn w:val="Normal"/>
    <w:uiPriority w:val="99"/>
    <w:unhideWhenUsed/>
    <w:rsid w:val="004E62C5"/>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Fuentedeprrafopredeter"/>
    <w:rsid w:val="004E62C5"/>
  </w:style>
  <w:style w:type="character" w:customStyle="1" w:styleId="button-label">
    <w:name w:val="button-label"/>
    <w:basedOn w:val="Fuentedeprrafopredeter"/>
    <w:rsid w:val="004E6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F2467-6503-8642-A5EB-0C690EE7B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3951</Words>
  <Characters>21732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Skrynner Play</cp:lastModifiedBy>
  <cp:revision>15</cp:revision>
  <cp:lastPrinted>2026-05-06T14:15:00Z</cp:lastPrinted>
  <dcterms:created xsi:type="dcterms:W3CDTF">2026-05-04T04:48:00Z</dcterms:created>
  <dcterms:modified xsi:type="dcterms:W3CDTF">2026-05-06T14:15:00Z</dcterms:modified>
</cp:coreProperties>
</file>