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400"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-967156</wp:posOffset>
            </wp:positionH>
            <wp:positionV relativeFrom="paragraph">
              <wp:posOffset>-931543</wp:posOffset>
            </wp:positionV>
            <wp:extent cx="7799705" cy="10093325"/>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799705" cy="10093325"/>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474747"/>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474747"/>
          <w:sz w:val="14"/>
          <w:szCs w:val="14"/>
          <w:u w:val="none"/>
          <w:shd w:fill="auto" w:val="clear"/>
          <w:vertAlign w:val="baseline"/>
          <w:rtl w:val="0"/>
        </w:rPr>
        <w:t xml:space="preserve">EQUIPO DE TRABAJO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474747"/>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2560a7"/>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560a7"/>
          <w:sz w:val="17"/>
          <w:szCs w:val="17"/>
          <w:u w:val="none"/>
          <w:shd w:fill="auto" w:val="clear"/>
          <w:vertAlign w:val="baseline"/>
          <w:rtl w:val="0"/>
        </w:rPr>
        <w:t xml:space="preserve">Universidad Abierta para Adultos (UAPA)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2560a7"/>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474747"/>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474747"/>
          <w:sz w:val="14"/>
          <w:szCs w:val="14"/>
          <w:u w:val="none"/>
          <w:shd w:fill="auto" w:val="clear"/>
          <w:vertAlign w:val="baseline"/>
          <w:rtl w:val="0"/>
        </w:rPr>
        <w:t xml:space="preserve">Convocatoria Universitaria · Desafío Ciudad del Futuro 2036</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474747"/>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193c66"/>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93c66"/>
          <w:sz w:val="20"/>
          <w:szCs w:val="20"/>
          <w:u w:val="none"/>
          <w:shd w:fill="auto" w:val="clear"/>
          <w:vertAlign w:val="baseline"/>
          <w:rtl w:val="0"/>
        </w:rPr>
        <w:t xml:space="preserve">Laury Jaquez</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474747"/>
          <w:sz w:val="15"/>
          <w:szCs w:val="1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474747"/>
          <w:sz w:val="15"/>
          <w:szCs w:val="15"/>
          <w:u w:val="none"/>
          <w:shd w:fill="auto" w:val="clear"/>
          <w:vertAlign w:val="baseline"/>
          <w:rtl w:val="0"/>
        </w:rPr>
        <w:t xml:space="preserve">Matrícula 100076785</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474747"/>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474747"/>
          <w:sz w:val="14"/>
          <w:szCs w:val="14"/>
          <w:u w:val="none"/>
          <w:shd w:fill="auto" w:val="clear"/>
          <w:vertAlign w:val="baseline"/>
          <w:rtl w:val="0"/>
        </w:rPr>
        <w:t xml:space="preserve">Escuela de Tecnología · Ingeniería de Software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474747"/>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193c66"/>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93c66"/>
          <w:sz w:val="20"/>
          <w:szCs w:val="20"/>
          <w:u w:val="none"/>
          <w:shd w:fill="auto" w:val="clear"/>
          <w:vertAlign w:val="baseline"/>
          <w:rtl w:val="0"/>
        </w:rPr>
        <w:t xml:space="preserve">[Nombre completo del integrante 2]</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474747"/>
          <w:sz w:val="15"/>
          <w:szCs w:val="1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474747"/>
          <w:sz w:val="15"/>
          <w:szCs w:val="15"/>
          <w:u w:val="none"/>
          <w:shd w:fill="auto" w:val="clear"/>
          <w:vertAlign w:val="baseline"/>
          <w:rtl w:val="0"/>
        </w:rPr>
        <w:t xml:space="preserve">Matrícula [000000000]</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474747"/>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474747"/>
          <w:sz w:val="14"/>
          <w:szCs w:val="14"/>
          <w:u w:val="none"/>
          <w:shd w:fill="auto" w:val="clear"/>
          <w:vertAlign w:val="baseline"/>
          <w:rtl w:val="0"/>
        </w:rPr>
        <w:t xml:space="preserve">[Escuela / Carrera]</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474747"/>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193c66"/>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93c66"/>
          <w:sz w:val="20"/>
          <w:szCs w:val="20"/>
          <w:u w:val="none"/>
          <w:shd w:fill="auto" w:val="clear"/>
          <w:vertAlign w:val="baseline"/>
          <w:rtl w:val="0"/>
        </w:rPr>
        <w:t xml:space="preserve">[Nombre completo del integrante 3]</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474747"/>
          <w:sz w:val="15"/>
          <w:szCs w:val="1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474747"/>
          <w:sz w:val="15"/>
          <w:szCs w:val="15"/>
          <w:u w:val="none"/>
          <w:shd w:fill="auto" w:val="clear"/>
          <w:vertAlign w:val="baseline"/>
          <w:rtl w:val="0"/>
        </w:rPr>
        <w:t xml:space="preserve">Matrícula [000000000]</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474747"/>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474747"/>
          <w:sz w:val="14"/>
          <w:szCs w:val="14"/>
          <w:u w:val="none"/>
          <w:shd w:fill="auto" w:val="clear"/>
          <w:vertAlign w:val="baseline"/>
          <w:rtl w:val="0"/>
        </w:rPr>
        <w:t xml:space="preserve">[Escuela / Carrera]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474747"/>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193c66"/>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93c66"/>
          <w:sz w:val="20"/>
          <w:szCs w:val="20"/>
          <w:u w:val="none"/>
          <w:shd w:fill="auto" w:val="clear"/>
          <w:vertAlign w:val="baseline"/>
          <w:rtl w:val="0"/>
        </w:rPr>
        <w:t xml:space="preserve">[Nombre completo del integrante 4]</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474747"/>
          <w:sz w:val="15"/>
          <w:szCs w:val="1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474747"/>
          <w:sz w:val="15"/>
          <w:szCs w:val="15"/>
          <w:u w:val="none"/>
          <w:shd w:fill="auto" w:val="clear"/>
          <w:vertAlign w:val="baseline"/>
          <w:rtl w:val="0"/>
        </w:rPr>
        <w:t xml:space="preserve">Matrícula [000000000]</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474747"/>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474747"/>
          <w:sz w:val="14"/>
          <w:szCs w:val="14"/>
          <w:u w:val="none"/>
          <w:shd w:fill="auto" w:val="clear"/>
          <w:vertAlign w:val="baseline"/>
          <w:rtl w:val="0"/>
        </w:rPr>
        <w:t xml:space="preserve">[Escuela / Carrera]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474747"/>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474747"/>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474747"/>
          <w:sz w:val="14"/>
          <w:szCs w:val="14"/>
          <w:u w:val="none"/>
          <w:shd w:fill="auto" w:val="clear"/>
          <w:vertAlign w:val="baseline"/>
          <w:rtl w:val="0"/>
        </w:rPr>
        <w:t xml:space="preserve">Santo Domingo, República Dominicana · 5 de mayo de 2026</w:t>
      </w:r>
    </w:p>
    <w:p w:rsidR="00000000" w:rsidDel="00000000" w:rsidP="00000000" w:rsidRDefault="00000000" w:rsidRPr="00000000" w14:paraId="00000019">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A">
      <w:pPr>
        <w:jc w:val="both"/>
        <w:rPr>
          <w:b w:val="1"/>
          <w:bCs w:val="1"/>
        </w:rPr>
      </w:pP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Play" w:cs="Play" w:eastAsia="Play" w:hAnsi="Play"/>
          <w:b w:val="1"/>
          <w:bCs w:val="1"/>
          <w:i w:val="0"/>
          <w:iCs w:val="0"/>
          <w:smallCaps w:val="0"/>
          <w:strike w:val="0"/>
          <w:color w:val="0f4761"/>
          <w:sz w:val="28"/>
          <w:szCs w:val="28"/>
          <w:u w:val="none"/>
          <w:shd w:fill="auto" w:val="clear"/>
          <w:vertAlign w:val="baseline"/>
        </w:rPr>
      </w:pPr>
      <w:r w:rsidDel="00000000" w:rsidR="00000000" w:rsidRPr="00000000">
        <w:rPr>
          <w:rFonts w:ascii="Play" w:cs="Play" w:eastAsia="Play" w:hAnsi="Play"/>
          <w:b w:val="1"/>
          <w:bCs w:val="1"/>
          <w:i w:val="0"/>
          <w:iCs w:val="0"/>
          <w:smallCaps w:val="0"/>
          <w:strike w:val="0"/>
          <w:color w:val="0f4761"/>
          <w:sz w:val="28"/>
          <w:szCs w:val="28"/>
          <w:u w:val="none"/>
          <w:shd w:fill="auto" w:val="clear"/>
          <w:vertAlign w:val="baseline"/>
          <w:rtl w:val="0"/>
        </w:rPr>
        <w:t xml:space="preserve">Tabla de contenido</w:t>
      </w:r>
    </w:p>
    <w:p w:rsidR="00000000" w:rsidDel="00000000" w:rsidP="00000000" w:rsidRDefault="00000000" w:rsidRPr="00000000" w14:paraId="0000001C">
      <w:pPr>
        <w:jc w:val="both"/>
        <w:rPr/>
      </w:pPr>
      <w:r w:rsidDel="00000000" w:rsidR="00000000" w:rsidRPr="00000000">
        <w:rPr>
          <w:rtl w:val="0"/>
        </w:rPr>
      </w:r>
    </w:p>
    <w:sdt>
      <w:sdtPr>
        <w:id w:val="712046529"/>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7rtzwuy3r63">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3yksjqfccd7f">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 xml:space="preserve">Resumen Ejecutivo</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hi2ntewq5dy1">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 xml:space="preserve">Pilar 1: Urbanismo y Smart City Design</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wza4twmryagp">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 xml:space="preserve">1.1. Visión Prospectiva: El Modelo de Proximidad Urbana</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n9anctimf94o">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 xml:space="preserve">1.2. Plan Maestro de Infraestructura y Movilidad Multimodal</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d0rg2y2qetp3">
            <w:r w:rsidDel="00000000" w:rsidR="00000000" w:rsidRPr="00000000">
              <w:rPr>
                <w:rFonts w:ascii="Aptos" w:cs="Aptos" w:eastAsia="Aptos" w:hAnsi="Aptos"/>
                <w:b w:val="0"/>
                <w:bCs w:val="0"/>
                <w:i w:val="0"/>
                <w:iCs w:val="0"/>
                <w:smallCaps w:val="1"/>
                <w:strike w:val="0"/>
                <w:color w:val="000000"/>
                <w:sz w:val="22"/>
                <w:szCs w:val="22"/>
                <w:u w:val="none"/>
                <w:shd w:fill="auto" w:val="clear"/>
                <w:vertAlign w:val="baseline"/>
                <w:rtl w:val="0"/>
              </w:rPr>
              <w:t xml:space="preserve">1.3. Ingeniería de Resiliencia: Regeneración del Tejido Urbano</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l269rbk3v5yn">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 xml:space="preserve">Pilar 2: Viabilidad Financiera e Inversión</w:t>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g2jzfm7b7z7">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 xml:space="preserve">Pilar 3: Tecnología e Innovación</w:t>
              <w:tab/>
              <w:t xml:space="preserve">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xvc1bbtsmbhg">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 xml:space="preserve">Pilar 4: Marco Legal, Gobernanza y ODS</w:t>
              <w:tab/>
              <w:t xml:space="preserve">11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tdakct1kq9jm">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 xml:space="preserve">Pilar 5: Pitch, Comunicación y Ventas</w:t>
              <w:tab/>
              <w:t xml:space="preserve">13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l0i9obmsd5wl">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 xml:space="preserve">Conclusión</w:t>
              <w:tab/>
              <w:t xml:space="preserve">15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q7vupgmj05m1">
            <w:r w:rsidDel="00000000" w:rsidR="00000000" w:rsidRPr="00000000">
              <w:rPr>
                <w:rFonts w:ascii="Aptos" w:cs="Aptos" w:eastAsia="Aptos" w:hAnsi="Aptos"/>
                <w:b w:val="1"/>
                <w:bCs w:val="1"/>
                <w:i w:val="0"/>
                <w:iCs w:val="0"/>
                <w:smallCaps w:val="1"/>
                <w:strike w:val="0"/>
                <w:color w:val="000000"/>
                <w:sz w:val="22"/>
                <w:szCs w:val="22"/>
                <w:u w:val="none"/>
                <w:shd w:fill="auto" w:val="clear"/>
                <w:vertAlign w:val="baseline"/>
                <w:rtl w:val="0"/>
              </w:rPr>
              <w:t xml:space="preserve">Referencias</w:t>
              <w:tab/>
              <w:t xml:space="preserve">16</w:t>
            </w:r>
          </w:hyperlink>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pStyle w:val="Heading2"/>
        <w:jc w:val="both"/>
        <w:rPr/>
      </w:pPr>
      <w:bookmarkStart w:colFirst="0" w:colLast="0" w:name="_heading=h.tg9dq255x8vx" w:id="0"/>
      <w:bookmarkEnd w:id="0"/>
      <w:r w:rsidDel="00000000" w:rsidR="00000000" w:rsidRPr="00000000">
        <w:rPr>
          <w:rtl w:val="0"/>
        </w:rPr>
      </w:r>
    </w:p>
    <w:p w:rsidR="00000000" w:rsidDel="00000000" w:rsidP="00000000" w:rsidRDefault="00000000" w:rsidRPr="00000000" w14:paraId="00000049">
      <w:pPr>
        <w:pStyle w:val="Heading2"/>
        <w:jc w:val="both"/>
        <w:rPr/>
      </w:pPr>
      <w:bookmarkStart w:colFirst="0" w:colLast="0" w:name="_heading=h.t7rtzwuy3r63" w:id="1"/>
      <w:bookmarkEnd w:id="1"/>
      <w:r w:rsidDel="00000000" w:rsidR="00000000" w:rsidRPr="00000000">
        <w:rPr>
          <w:rtl w:val="0"/>
        </w:rPr>
        <w:t xml:space="preserve">Introducción</w:t>
      </w:r>
    </w:p>
    <w:p w:rsidR="00000000" w:rsidDel="00000000" w:rsidP="00000000" w:rsidRDefault="00000000" w:rsidRPr="00000000" w14:paraId="0000004A">
      <w:pPr>
        <w:spacing w:after="240" w:before="240" w:lineRule="auto"/>
        <w:jc w:val="both"/>
        <w:rPr>
          <w:sz w:val="24"/>
          <w:szCs w:val="24"/>
        </w:rPr>
      </w:pPr>
      <w:r w:rsidDel="00000000" w:rsidR="00000000" w:rsidRPr="00000000">
        <w:rPr>
          <w:sz w:val="24"/>
          <w:szCs w:val="24"/>
          <w:rtl w:val="0"/>
        </w:rPr>
        <w:t xml:space="preserve">La República Dominicana enfrenta un momento decisivo para definir el futuro urbano de Santo Domingo, ciudad que concentra gran parte de la población y del PIB nacional. El crecimiento desordenado, la expansión horizontal, la dependencia del vehículo privado, el tráfico y los problemas de infraestructura amenazan la productividad, la calidad de vida y el desarrollo del país.</w:t>
      </w:r>
    </w:p>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Ante este panorama, el </w:t>
      </w:r>
      <w:r w:rsidDel="00000000" w:rsidR="00000000" w:rsidRPr="00000000">
        <w:rPr>
          <w:b w:val="1"/>
          <w:bCs w:val="1"/>
          <w:sz w:val="24"/>
          <w:szCs w:val="24"/>
          <w:rtl w:val="0"/>
        </w:rPr>
        <w:t xml:space="preserve">Desafío Ciudad del Futuro 2036</w:t>
      </w:r>
      <w:r w:rsidDel="00000000" w:rsidR="00000000" w:rsidRPr="00000000">
        <w:rPr>
          <w:sz w:val="24"/>
          <w:szCs w:val="24"/>
          <w:rtl w:val="0"/>
        </w:rPr>
        <w:t xml:space="preserve"> plantea la necesidad de transformar el modelo de ciudad y desarrollo inmobiliario hacia uno más sostenible, eficiente y próspero. La propuesta de la </w:t>
      </w:r>
      <w:r w:rsidDel="00000000" w:rsidR="00000000" w:rsidRPr="00000000">
        <w:rPr>
          <w:b w:val="1"/>
          <w:bCs w:val="1"/>
          <w:sz w:val="24"/>
          <w:szCs w:val="24"/>
          <w:rtl w:val="0"/>
        </w:rPr>
        <w:t xml:space="preserve">UAPA</w:t>
      </w:r>
      <w:r w:rsidDel="00000000" w:rsidR="00000000" w:rsidRPr="00000000">
        <w:rPr>
          <w:sz w:val="24"/>
          <w:szCs w:val="24"/>
          <w:rtl w:val="0"/>
        </w:rPr>
        <w:t xml:space="preserve"> no se presenta como una utopía, sino como una solución concreta, viable y basada en procesos, recursos y leyes que ya existen en el país.</w:t>
      </w:r>
    </w:p>
    <w:p w:rsidR="00000000" w:rsidDel="00000000" w:rsidP="00000000" w:rsidRDefault="00000000" w:rsidRPr="00000000" w14:paraId="0000004C">
      <w:pPr>
        <w:spacing w:after="240" w:before="240" w:lineRule="auto"/>
        <w:jc w:val="both"/>
        <w:rPr>
          <w:sz w:val="24"/>
          <w:szCs w:val="24"/>
        </w:rPr>
      </w:pPr>
      <w:r w:rsidDel="00000000" w:rsidR="00000000" w:rsidRPr="00000000">
        <w:rPr>
          <w:sz w:val="24"/>
          <w:szCs w:val="24"/>
          <w:rtl w:val="0"/>
        </w:rPr>
        <w:t xml:space="preserve">El documento se organiza en cinco pilares: </w:t>
      </w:r>
      <w:r w:rsidDel="00000000" w:rsidR="00000000" w:rsidRPr="00000000">
        <w:rPr>
          <w:b w:val="1"/>
          <w:bCs w:val="1"/>
          <w:sz w:val="24"/>
          <w:szCs w:val="24"/>
          <w:rtl w:val="0"/>
        </w:rPr>
        <w:t xml:space="preserve">urbanismo inteligente, viabilidad financiera, tecnología e innovación, marco legal y gobernanza, y comunicación estratégica</w:t>
      </w:r>
      <w:r w:rsidDel="00000000" w:rsidR="00000000" w:rsidRPr="00000000">
        <w:rPr>
          <w:sz w:val="24"/>
          <w:szCs w:val="24"/>
          <w:rtl w:val="0"/>
        </w:rPr>
        <w:t xml:space="preserve">. Además, se fundamenta en la </w:t>
      </w:r>
      <w:r w:rsidDel="00000000" w:rsidR="00000000" w:rsidRPr="00000000">
        <w:rPr>
          <w:b w:val="1"/>
          <w:bCs w:val="1"/>
          <w:sz w:val="24"/>
          <w:szCs w:val="24"/>
          <w:rtl w:val="0"/>
        </w:rPr>
        <w:t xml:space="preserve">Ley 1-12 de Estrategia Nacional de Desarrollo 2030</w:t>
      </w:r>
      <w:r w:rsidDel="00000000" w:rsidR="00000000" w:rsidRPr="00000000">
        <w:rPr>
          <w:sz w:val="24"/>
          <w:szCs w:val="24"/>
          <w:rtl w:val="0"/>
        </w:rPr>
        <w:t xml:space="preserve">, se alinea con los </w:t>
      </w:r>
      <w:r w:rsidDel="00000000" w:rsidR="00000000" w:rsidRPr="00000000">
        <w:rPr>
          <w:b w:val="1"/>
          <w:bCs w:val="1"/>
          <w:sz w:val="24"/>
          <w:szCs w:val="24"/>
          <w:rtl w:val="0"/>
        </w:rPr>
        <w:t xml:space="preserve">Objetivos de Desarrollo Sostenible</w:t>
      </w:r>
      <w:r w:rsidDel="00000000" w:rsidR="00000000" w:rsidRPr="00000000">
        <w:rPr>
          <w:sz w:val="24"/>
          <w:szCs w:val="24"/>
          <w:rtl w:val="0"/>
        </w:rPr>
        <w:t xml:space="preserve"> y utiliza leyes dominicanas vigentes sin requerir reformas profundas.</w:t>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En esencia, </w:t>
      </w:r>
      <w:r w:rsidDel="00000000" w:rsidR="00000000" w:rsidRPr="00000000">
        <w:rPr>
          <w:b w:val="1"/>
          <w:bCs w:val="1"/>
          <w:sz w:val="24"/>
          <w:szCs w:val="24"/>
          <w:rtl w:val="0"/>
        </w:rPr>
        <w:t xml:space="preserve">Santo Domingo 2036</w:t>
      </w:r>
      <w:r w:rsidDel="00000000" w:rsidR="00000000" w:rsidRPr="00000000">
        <w:rPr>
          <w:sz w:val="24"/>
          <w:szCs w:val="24"/>
          <w:rtl w:val="0"/>
        </w:rPr>
        <w:t xml:space="preserve"> propone continuar y ordenar lo que el país ya ha iniciado, con visión, método y compromiso, entendiendo que el futuro urbano de la República Dominicana debe decidirse desde hoy.</w:t>
      </w:r>
    </w:p>
    <w:p w:rsidR="00000000" w:rsidDel="00000000" w:rsidP="00000000" w:rsidRDefault="00000000" w:rsidRPr="00000000" w14:paraId="0000004E">
      <w:pPr>
        <w:pStyle w:val="Heading2"/>
        <w:jc w:val="both"/>
        <w:rPr>
          <w:sz w:val="24"/>
          <w:szCs w:val="24"/>
        </w:rPr>
      </w:pPr>
      <w:bookmarkStart w:colFirst="0" w:colLast="0" w:name="_heading=h.3yksjqfccd7f" w:id="2"/>
      <w:bookmarkEnd w:id="2"/>
      <w:r w:rsidDel="00000000" w:rsidR="00000000" w:rsidRPr="00000000">
        <w:rPr>
          <w:sz w:val="24"/>
          <w:szCs w:val="24"/>
          <w:rtl w:val="0"/>
        </w:rPr>
        <w:t xml:space="preserve">Resumen Ejecutivo</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proponemos?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Reorganizar el Distrito Nacional y el Gran Santo Domingo entre 2026 y 2036 mediante tres ejes interdependientes: la expansión del sistema masivo de transporte (Metro, Líneas 3 y 4), la modernización de barrios con resiliencia climática frente al Ozama, y la creación de un Distrito Histórico-Tecnológico que concentre el ecosistema de innovación dominicano. Un cuarto eje transversal de educación STEAM da viabilidad humana y de largo plazo al modelo.</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Cifras clave: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Inversión total estimada: USD 7,300 millones en 11 años</w:t>
      </w:r>
    </w:p>
    <w:p w:rsidR="00000000" w:rsidDel="00000000" w:rsidP="00000000" w:rsidRDefault="00000000" w:rsidRPr="00000000" w14:paraId="000000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Cobertura: más de 3.7 millones de habitantes del Gran Santo Domingo</w:t>
      </w:r>
    </w:p>
    <w:p w:rsidR="00000000" w:rsidDel="00000000" w:rsidP="00000000" w:rsidRDefault="00000000" w:rsidRPr="00000000" w14:paraId="000000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Movilidad: de 285,000 a 750,000 viajes diarios en transporte masivo</w:t>
      </w:r>
    </w:p>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Empleos generados: 140,000 directos e indirectos al 2036</w:t>
      </w:r>
    </w:p>
    <w:p w:rsidR="00000000" w:rsidDel="00000000" w:rsidP="00000000" w:rsidRDefault="00000000" w:rsidRPr="00000000" w14:paraId="000000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Período de recuperación: 6–8 años (Hub de Innovación), 12–14 años (Metro)</w:t>
      </w:r>
    </w:p>
    <w:p w:rsidR="00000000" w:rsidDel="00000000" w:rsidP="00000000" w:rsidRDefault="00000000" w:rsidRPr="00000000" w14:paraId="000000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legal habilitante: 12 leyes vigentes, ninguna reforma requerida</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 qué es viable?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propuesta no depende de voluntad política aislada ni de financiamiento externo ilimitado. Se sostiene con siete fuentes de monetización propias tarifas, plusvalía urbana, datos, energía, turismo, renta del Hub y bonos verdes y una estructura de financiamiento mixta que combina inversión pública, banca multilateral, alianzas público-privadas y cooperación internacional. El modelo no es una carga fiscal a fondo perdido: es una inversión recuperable dentro del propio horizonte 2036.</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la hace única?</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Visión integrada: los tres ejes se sostienen entre sí; ninguno funciona en aislamiento</w:t>
      </w:r>
    </w:p>
    <w:p w:rsidR="00000000" w:rsidDel="00000000" w:rsidP="00000000" w:rsidRDefault="00000000" w:rsidRPr="00000000" w14:paraId="000000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Foco en el factor humano: la educación STEAM articula la propuesta con el ciudadano</w:t>
      </w:r>
    </w:p>
    <w:p w:rsidR="00000000" w:rsidDel="00000000" w:rsidP="00000000" w:rsidRDefault="00000000" w:rsidRPr="00000000" w14:paraId="000000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Blindaje ético y legal desde el diseño: Ley 172-13 y supervisión ciudadana de algoritmos</w:t>
      </w:r>
    </w:p>
    <w:p w:rsidR="00000000" w:rsidDel="00000000" w:rsidP="00000000" w:rsidRDefault="00000000" w:rsidRPr="00000000" w14:paraId="000000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Resiliencia climática como activo: el corredor del Ozama pasa de riesgo a parque urbano</w:t>
      </w:r>
    </w:p>
    <w:p w:rsidR="00000000" w:rsidDel="00000000" w:rsidP="00000000" w:rsidRDefault="00000000" w:rsidRPr="00000000" w14:paraId="0000006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Evidencia local real: Actuana Academy con más de 1,200 estudiantes y pilotos con sensores ESP32</w:t>
      </w:r>
    </w:p>
    <w:p w:rsidR="00000000" w:rsidDel="00000000" w:rsidP="00000000" w:rsidRDefault="00000000" w:rsidRPr="00000000" w14:paraId="00000061">
      <w:pPr>
        <w:pStyle w:val="Heading2"/>
        <w:jc w:val="both"/>
        <w:rPr/>
      </w:pPr>
      <w:bookmarkStart w:colFirst="0" w:colLast="0" w:name="_heading=h.hi2ntewq5dy1" w:id="3"/>
      <w:bookmarkEnd w:id="3"/>
      <w:r w:rsidDel="00000000" w:rsidR="00000000" w:rsidRPr="00000000">
        <w:rPr>
          <w:rtl w:val="0"/>
        </w:rPr>
        <w:t xml:space="preserve">Pilar 1: Urbanismo y Smart City Design</w:t>
      </w:r>
    </w:p>
    <w:p w:rsidR="00000000" w:rsidDel="00000000" w:rsidP="00000000" w:rsidRDefault="00000000" w:rsidRPr="00000000" w14:paraId="00000062">
      <w:pPr>
        <w:pStyle w:val="Heading3"/>
        <w:jc w:val="both"/>
        <w:rPr>
          <w:color w:val="000000"/>
        </w:rPr>
      </w:pPr>
      <w:bookmarkStart w:colFirst="0" w:colLast="0" w:name="_heading=h.wza4twmryagp" w:id="4"/>
      <w:bookmarkEnd w:id="4"/>
      <w:r w:rsidDel="00000000" w:rsidR="00000000" w:rsidRPr="00000000">
        <w:rPr>
          <w:color w:val="000000"/>
          <w:rtl w:val="0"/>
        </w:rPr>
        <w:t xml:space="preserve">1.1. Visión Prospectiva: El Modelo de Proximidad Urbana</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Santo Domingo 2036</w:t>
      </w:r>
      <w:r w:rsidDel="00000000" w:rsidR="00000000" w:rsidRPr="00000000">
        <w:rPr>
          <w:rFonts w:ascii="Times New Roman" w:cs="Times New Roman" w:eastAsia="Times New Roman" w:hAnsi="Times New Roman"/>
          <w:sz w:val="24"/>
          <w:szCs w:val="24"/>
          <w:rtl w:val="0"/>
        </w:rPr>
        <w:t xml:space="preserve"> propone romper con el modelo de expansión horizontal que ha provocado crecimiento urbano desordenado, fragmentación social y pérdida de tiempo en traslados diarios.</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propuesta plantea implementar la </w:t>
      </w:r>
      <w:r w:rsidDel="00000000" w:rsidR="00000000" w:rsidRPr="00000000">
        <w:rPr>
          <w:rFonts w:ascii="Times New Roman" w:cs="Times New Roman" w:eastAsia="Times New Roman" w:hAnsi="Times New Roman"/>
          <w:b w:val="1"/>
          <w:bCs w:val="1"/>
          <w:sz w:val="24"/>
          <w:szCs w:val="24"/>
          <w:rtl w:val="0"/>
        </w:rPr>
        <w:t xml:space="preserve">Ciudad de 15 minutos</w:t>
      </w:r>
      <w:r w:rsidDel="00000000" w:rsidR="00000000" w:rsidRPr="00000000">
        <w:rPr>
          <w:rFonts w:ascii="Times New Roman" w:cs="Times New Roman" w:eastAsia="Times New Roman" w:hAnsi="Times New Roman"/>
          <w:sz w:val="24"/>
          <w:szCs w:val="24"/>
          <w:rtl w:val="0"/>
        </w:rPr>
        <w:t xml:space="preserve">, basada en una densificación inteligente donde servicios esenciales como salud, educación y comercio estén cerca de los ciudadanos, ya sea caminando o mediante transporte masivo eficiente.</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incorpora tecnologías como </w:t>
      </w:r>
      <w:r w:rsidDel="00000000" w:rsidR="00000000" w:rsidRPr="00000000">
        <w:rPr>
          <w:rFonts w:ascii="Times New Roman" w:cs="Times New Roman" w:eastAsia="Times New Roman" w:hAnsi="Times New Roman"/>
          <w:b w:val="1"/>
          <w:bCs w:val="1"/>
          <w:sz w:val="24"/>
          <w:szCs w:val="24"/>
          <w:rtl w:val="0"/>
        </w:rPr>
        <w:t xml:space="preserve">IoT e inteligencia artificial</w:t>
      </w:r>
      <w:r w:rsidDel="00000000" w:rsidR="00000000" w:rsidRPr="00000000">
        <w:rPr>
          <w:rFonts w:ascii="Times New Roman" w:cs="Times New Roman" w:eastAsia="Times New Roman" w:hAnsi="Times New Roman"/>
          <w:sz w:val="24"/>
          <w:szCs w:val="24"/>
          <w:rtl w:val="0"/>
        </w:rPr>
        <w:t xml:space="preserve"> para optimizar los servicios públicos y fortalecer una movilidad eléctrica respaldada por la </w:t>
      </w:r>
      <w:r w:rsidDel="00000000" w:rsidR="00000000" w:rsidRPr="00000000">
        <w:rPr>
          <w:rFonts w:ascii="Times New Roman" w:cs="Times New Roman" w:eastAsia="Times New Roman" w:hAnsi="Times New Roman"/>
          <w:b w:val="1"/>
          <w:bCs w:val="1"/>
          <w:sz w:val="24"/>
          <w:szCs w:val="24"/>
          <w:rtl w:val="0"/>
        </w:rPr>
        <w:t xml:space="preserve">Ley 103-13</w:t>
      </w:r>
      <w:r w:rsidDel="00000000" w:rsidR="00000000" w:rsidRPr="00000000">
        <w:rPr>
          <w:rFonts w:ascii="Times New Roman" w:cs="Times New Roman" w:eastAsia="Times New Roman" w:hAnsi="Times New Roman"/>
          <w:sz w:val="24"/>
          <w:szCs w:val="24"/>
          <w:rtl w:val="0"/>
        </w:rPr>
        <w:t xml:space="preserve">, devolviendo al peatón un papel central en el espacio urbano.</w:t>
      </w:r>
    </w:p>
    <w:p w:rsidR="00000000" w:rsidDel="00000000" w:rsidP="00000000" w:rsidRDefault="00000000" w:rsidRPr="00000000" w14:paraId="00000066">
      <w:pPr>
        <w:pStyle w:val="Heading3"/>
        <w:jc w:val="both"/>
        <w:rPr>
          <w:color w:val="000000"/>
        </w:rPr>
      </w:pPr>
      <w:bookmarkStart w:colFirst="0" w:colLast="0" w:name="_heading=h.n9anctimf94o" w:id="5"/>
      <w:bookmarkEnd w:id="5"/>
      <w:r w:rsidDel="00000000" w:rsidR="00000000" w:rsidRPr="00000000">
        <w:rPr>
          <w:color w:val="000000"/>
          <w:rtl w:val="0"/>
        </w:rPr>
        <w:t xml:space="preserve">1.2. Plan Maestro de Infraestructura y Movilidad Multimodal</w:t>
      </w:r>
    </w:p>
    <w:p w:rsidR="00000000" w:rsidDel="00000000" w:rsidP="00000000" w:rsidRDefault="00000000" w:rsidRPr="00000000" w14:paraId="00000067">
      <w:pPr>
        <w:jc w:val="both"/>
        <w:rPr/>
      </w:pPr>
      <w:r w:rsidDel="00000000" w:rsidR="00000000" w:rsidRPr="00000000">
        <w:rPr>
          <w:rtl w:val="0"/>
        </w:rPr>
        <w:t xml:space="preserve">La movilidad es el eje central de </w:t>
      </w:r>
      <w:r w:rsidDel="00000000" w:rsidR="00000000" w:rsidRPr="00000000">
        <w:rPr>
          <w:b w:val="1"/>
          <w:bCs w:val="1"/>
          <w:rtl w:val="0"/>
        </w:rPr>
        <w:t xml:space="preserve">Santo Domingo 2036</w:t>
      </w:r>
      <w:r w:rsidDel="00000000" w:rsidR="00000000" w:rsidRPr="00000000">
        <w:rPr>
          <w:rtl w:val="0"/>
        </w:rPr>
        <w:t xml:space="preserve">, con el </w:t>
      </w:r>
      <w:r w:rsidDel="00000000" w:rsidR="00000000" w:rsidRPr="00000000">
        <w:rPr>
          <w:b w:val="1"/>
          <w:bCs w:val="1"/>
          <w:rtl w:val="0"/>
        </w:rPr>
        <w:t xml:space="preserve">Metro de Santo Domingo</w:t>
      </w:r>
      <w:r w:rsidDel="00000000" w:rsidR="00000000" w:rsidRPr="00000000">
        <w:rPr>
          <w:rtl w:val="0"/>
        </w:rPr>
        <w:t xml:space="preserve"> como base de una red de transporte masivo más integrada, capaz de conectar zonas productivas desde </w:t>
      </w:r>
      <w:r w:rsidDel="00000000" w:rsidR="00000000" w:rsidRPr="00000000">
        <w:rPr>
          <w:b w:val="1"/>
          <w:bCs w:val="1"/>
          <w:rtl w:val="0"/>
        </w:rPr>
        <w:t xml:space="preserve">Haina hasta Boca Chica</w:t>
      </w:r>
      <w:r w:rsidDel="00000000" w:rsidR="00000000" w:rsidRPr="00000000">
        <w:rPr>
          <w:rtl w:val="0"/>
        </w:rPr>
        <w:t xml:space="preserve"> mediante la consolidación de las </w:t>
      </w:r>
      <w:r w:rsidDel="00000000" w:rsidR="00000000" w:rsidRPr="00000000">
        <w:rPr>
          <w:b w:val="1"/>
          <w:bCs w:val="1"/>
          <w:rtl w:val="0"/>
        </w:rPr>
        <w:t xml:space="preserve">Líneas 3 y 4</w:t>
      </w:r>
      <w:r w:rsidDel="00000000" w:rsidR="00000000" w:rsidRPr="00000000">
        <w:rPr>
          <w:rtl w:val="0"/>
        </w:rPr>
        <w:t xml:space="preserve"> e incluyendo la integración de </w:t>
      </w:r>
      <w:r w:rsidDel="00000000" w:rsidR="00000000" w:rsidRPr="00000000">
        <w:rPr>
          <w:b w:val="1"/>
          <w:bCs w:val="1"/>
          <w:rtl w:val="0"/>
        </w:rPr>
        <w:t xml:space="preserve">Ciudad Juan Bosch</w:t>
      </w:r>
      <w:r w:rsidDel="00000000" w:rsidR="00000000" w:rsidRPr="00000000">
        <w:rPr>
          <w:rtl w:val="0"/>
        </w:rPr>
        <w:t xml:space="preserve">. A la vez, se propone transformar la </w:t>
      </w:r>
      <w:r w:rsidDel="00000000" w:rsidR="00000000" w:rsidRPr="00000000">
        <w:rPr>
          <w:b w:val="1"/>
          <w:bCs w:val="1"/>
          <w:rtl w:val="0"/>
        </w:rPr>
        <w:t xml:space="preserve">DIGESETT</w:t>
      </w:r>
      <w:r w:rsidDel="00000000" w:rsidR="00000000" w:rsidRPr="00000000">
        <w:rPr>
          <w:rtl w:val="0"/>
        </w:rPr>
        <w:t xml:space="preserve"> en un modelo tecnológico, donde los agentes sean capacitados y certificados continuamente, utilizando herramientas digitales conectadas al </w:t>
      </w:r>
      <w:r w:rsidDel="00000000" w:rsidR="00000000" w:rsidRPr="00000000">
        <w:rPr>
          <w:b w:val="1"/>
          <w:bCs w:val="1"/>
          <w:rtl w:val="0"/>
        </w:rPr>
        <w:t xml:space="preserve">Centro de Operaciones de la Ciudad</w:t>
      </w:r>
      <w:r w:rsidDel="00000000" w:rsidR="00000000" w:rsidRPr="00000000">
        <w:rPr>
          <w:rtl w:val="0"/>
        </w:rPr>
        <w:t xml:space="preserve"> para gestionar semáforos adaptativos, mejorar el flujo vehicular, reducir la corrupción y dignificar su rol profesional. </w:t>
      </w:r>
      <w:r w:rsidDel="00000000" w:rsidR="00000000" w:rsidRPr="00000000">
        <w:rPr>
          <w:rtl w:val="0"/>
        </w:rPr>
      </w:r>
    </w:p>
    <w:p w:rsidR="00000000" w:rsidDel="00000000" w:rsidP="00000000" w:rsidRDefault="00000000" w:rsidRPr="00000000" w14:paraId="00000068">
      <w:pPr>
        <w:pStyle w:val="Heading3"/>
        <w:jc w:val="both"/>
        <w:rPr>
          <w:color w:val="000000"/>
        </w:rPr>
      </w:pPr>
      <w:bookmarkStart w:colFirst="0" w:colLast="0" w:name="_heading=h.d0rg2y2qetp3" w:id="6"/>
      <w:bookmarkEnd w:id="6"/>
      <w:r w:rsidDel="00000000" w:rsidR="00000000" w:rsidRPr="00000000">
        <w:rPr>
          <w:color w:val="000000"/>
          <w:rtl w:val="0"/>
        </w:rPr>
        <w:t xml:space="preserve">1.3. Ingeniería de Resiliencia: Regeneración del Tejido Urbano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El programa </w:t>
      </w:r>
      <w:r w:rsidDel="00000000" w:rsidR="00000000" w:rsidRPr="00000000">
        <w:rPr>
          <w:rFonts w:ascii="Times New Roman" w:cs="Times New Roman" w:eastAsia="Times New Roman" w:hAnsi="Times New Roman"/>
          <w:b w:val="1"/>
          <w:bCs w:val="1"/>
          <w:sz w:val="24"/>
          <w:szCs w:val="24"/>
          <w:rtl w:val="0"/>
        </w:rPr>
        <w:t xml:space="preserve">Barrio Conectado 2036</w:t>
      </w:r>
      <w:r w:rsidDel="00000000" w:rsidR="00000000" w:rsidRPr="00000000">
        <w:rPr>
          <w:rFonts w:ascii="Times New Roman" w:cs="Times New Roman" w:eastAsia="Times New Roman" w:hAnsi="Times New Roman"/>
          <w:sz w:val="24"/>
          <w:szCs w:val="24"/>
          <w:rtl w:val="0"/>
        </w:rPr>
        <w:t xml:space="preserve"> propone transformar sectores vulnerables mediante infraestructura resiliente, destacando el </w:t>
      </w:r>
      <w:r w:rsidDel="00000000" w:rsidR="00000000" w:rsidRPr="00000000">
        <w:rPr>
          <w:rFonts w:ascii="Times New Roman" w:cs="Times New Roman" w:eastAsia="Times New Roman" w:hAnsi="Times New Roman"/>
          <w:b w:val="1"/>
          <w:bCs w:val="1"/>
          <w:sz w:val="24"/>
          <w:szCs w:val="24"/>
          <w:rtl w:val="0"/>
        </w:rPr>
        <w:t xml:space="preserve">Corredor del Ozama</w:t>
      </w:r>
      <w:r w:rsidDel="00000000" w:rsidR="00000000" w:rsidRPr="00000000">
        <w:rPr>
          <w:rFonts w:ascii="Times New Roman" w:cs="Times New Roman" w:eastAsia="Times New Roman" w:hAnsi="Times New Roman"/>
          <w:sz w:val="24"/>
          <w:szCs w:val="24"/>
          <w:rtl w:val="0"/>
        </w:rPr>
        <w:t xml:space="preserve"> como un parque lineal con humedales, ciclovías y espacios públicos que funcionen como protección natural ante inundaciones. Además, incorpora tecnología de alerta temprana con sensores </w:t>
      </w:r>
      <w:r w:rsidDel="00000000" w:rsidR="00000000" w:rsidRPr="00000000">
        <w:rPr>
          <w:rFonts w:ascii="Times New Roman" w:cs="Times New Roman" w:eastAsia="Times New Roman" w:hAnsi="Times New Roman"/>
          <w:b w:val="1"/>
          <w:bCs w:val="1"/>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basados en un piloto probado por </w:t>
      </w:r>
      <w:r w:rsidDel="00000000" w:rsidR="00000000" w:rsidRPr="00000000">
        <w:rPr>
          <w:rFonts w:ascii="Times New Roman" w:cs="Times New Roman" w:eastAsia="Times New Roman" w:hAnsi="Times New Roman"/>
          <w:b w:val="1"/>
          <w:bCs w:val="1"/>
          <w:sz w:val="24"/>
          <w:szCs w:val="24"/>
          <w:rtl w:val="0"/>
        </w:rPr>
        <w:t xml:space="preserve">Actuana Academy</w:t>
      </w:r>
      <w:r w:rsidDel="00000000" w:rsidR="00000000" w:rsidRPr="00000000">
        <w:rPr>
          <w:rFonts w:ascii="Times New Roman" w:cs="Times New Roman" w:eastAsia="Times New Roman" w:hAnsi="Times New Roman"/>
          <w:sz w:val="24"/>
          <w:szCs w:val="24"/>
          <w:rtl w:val="0"/>
        </w:rPr>
        <w:t xml:space="preserve">, para monitorear en tiempo real los niveles de lluvia y agua, conectando la información al </w:t>
      </w:r>
      <w:r w:rsidDel="00000000" w:rsidR="00000000" w:rsidRPr="00000000">
        <w:rPr>
          <w:rFonts w:ascii="Times New Roman" w:cs="Times New Roman" w:eastAsia="Times New Roman" w:hAnsi="Times New Roman"/>
          <w:b w:val="1"/>
          <w:bCs w:val="1"/>
          <w:sz w:val="24"/>
          <w:szCs w:val="24"/>
          <w:rtl w:val="0"/>
        </w:rPr>
        <w:t xml:space="preserve">COE</w:t>
      </w:r>
      <w:r w:rsidDel="00000000" w:rsidR="00000000" w:rsidRPr="00000000">
        <w:rPr>
          <w:rFonts w:ascii="Times New Roman" w:cs="Times New Roman" w:eastAsia="Times New Roman" w:hAnsi="Times New Roman"/>
          <w:sz w:val="24"/>
          <w:szCs w:val="24"/>
          <w:rtl w:val="0"/>
        </w:rPr>
        <w:t xml:space="preserve"> y permitiendo proteger a las familias que viven en zonas de alto riesgo. </w:t>
      </w:r>
      <w:r w:rsidDel="00000000" w:rsidR="00000000" w:rsidRPr="00000000">
        <w:rPr>
          <w:rtl w:val="0"/>
        </w:rPr>
      </w:r>
    </w:p>
    <w:p w:rsidR="00000000" w:rsidDel="00000000" w:rsidP="00000000" w:rsidRDefault="00000000" w:rsidRPr="00000000" w14:paraId="0000006A">
      <w:pPr>
        <w:pStyle w:val="Heading2"/>
        <w:jc w:val="both"/>
        <w:rPr/>
      </w:pPr>
      <w:r w:rsidDel="00000000" w:rsidR="00000000" w:rsidRPr="00000000">
        <w:rPr>
          <w:rtl w:val="0"/>
        </w:rPr>
      </w:r>
    </w:p>
    <w:p w:rsidR="00000000" w:rsidDel="00000000" w:rsidP="00000000" w:rsidRDefault="00000000" w:rsidRPr="00000000" w14:paraId="0000006B">
      <w:pPr>
        <w:pStyle w:val="Heading2"/>
        <w:jc w:val="both"/>
        <w:rPr/>
      </w:pPr>
      <w:bookmarkStart w:colFirst="0" w:colLast="0" w:name="_heading=h.l269rbk3v5yn" w:id="7"/>
      <w:bookmarkEnd w:id="7"/>
      <w:r w:rsidDel="00000000" w:rsidR="00000000" w:rsidRPr="00000000">
        <w:rPr>
          <w:rtl w:val="0"/>
        </w:rPr>
        <w:t xml:space="preserve">Pilar 2: Viabilidad Financiera e Inversión</w:t>
      </w:r>
    </w:p>
    <w:p w:rsidR="00000000" w:rsidDel="00000000" w:rsidP="00000000" w:rsidRDefault="00000000" w:rsidRPr="00000000" w14:paraId="0000006C">
      <w:pPr>
        <w:pStyle w:val="Heading3"/>
        <w:jc w:val="both"/>
        <w:rPr>
          <w:color w:val="000000"/>
        </w:rPr>
      </w:pPr>
      <w:r w:rsidDel="00000000" w:rsidR="00000000" w:rsidRPr="00000000">
        <w:rPr>
          <w:color w:val="000000"/>
          <w:rtl w:val="0"/>
        </w:rPr>
        <w:t xml:space="preserve">2.1. Ingeniería Financiera: Estructura de Capital y Modelos de APP</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La ejecución de </w:t>
      </w:r>
      <w:r w:rsidDel="00000000" w:rsidR="00000000" w:rsidRPr="00000000">
        <w:rPr>
          <w:rFonts w:ascii="Times New Roman" w:cs="Times New Roman" w:eastAsia="Times New Roman" w:hAnsi="Times New Roman"/>
          <w:b w:val="1"/>
          <w:bCs w:val="1"/>
          <w:sz w:val="24"/>
          <w:szCs w:val="24"/>
          <w:rtl w:val="0"/>
        </w:rPr>
        <w:t xml:space="preserve">Santo Domingo 2036</w:t>
      </w:r>
      <w:r w:rsidDel="00000000" w:rsidR="00000000" w:rsidRPr="00000000">
        <w:rPr>
          <w:rFonts w:ascii="Times New Roman" w:cs="Times New Roman" w:eastAsia="Times New Roman" w:hAnsi="Times New Roman"/>
          <w:sz w:val="24"/>
          <w:szCs w:val="24"/>
          <w:rtl w:val="0"/>
        </w:rPr>
        <w:t xml:space="preserve"> necesita una inversión importante, estimada en unos </w:t>
      </w:r>
      <w:r w:rsidDel="00000000" w:rsidR="00000000" w:rsidRPr="00000000">
        <w:rPr>
          <w:rFonts w:ascii="Times New Roman" w:cs="Times New Roman" w:eastAsia="Times New Roman" w:hAnsi="Times New Roman"/>
          <w:b w:val="1"/>
          <w:bCs w:val="1"/>
          <w:sz w:val="24"/>
          <w:szCs w:val="24"/>
          <w:rtl w:val="0"/>
        </w:rPr>
        <w:t xml:space="preserve">7,300 millones de dólares</w:t>
      </w:r>
      <w:r w:rsidDel="00000000" w:rsidR="00000000" w:rsidRPr="00000000">
        <w:rPr>
          <w:rFonts w:ascii="Times New Roman" w:cs="Times New Roman" w:eastAsia="Times New Roman" w:hAnsi="Times New Roman"/>
          <w:sz w:val="24"/>
          <w:szCs w:val="24"/>
          <w:rtl w:val="0"/>
        </w:rPr>
        <w:t xml:space="preserve"> durante un período de 11 años. Para lograrlo de forma responsable, la propuesta plantea combinar varias fuentes de financiamiento, de manera que el peso no recaiga únicamente sobre el Estado. Una parte vendría de fondos públicos y organismos internacionales como el BID y la AFD, especialmente para obras esenciales como la infraestructura básica y la expansión del Metro. Otra parte se obtendría mediante alianzas público-privadas, aprovechando la Ley 47-20 para atraer inversión en proyectos con potencial económico, como el Hub de Innovación y las zonas comerciales alrededor de las estaciones. Finalmente, se usarían instrumentos financieros como bonos verdes, respaldados por la Ley 249-17, para captar recursos de inversionistas interesados en proyectos con impacto social, ambiental y urbano positivo. </w:t>
      </w:r>
      <w:r w:rsidDel="00000000" w:rsidR="00000000" w:rsidRPr="00000000">
        <w:rPr>
          <w:rtl w:val="0"/>
        </w:rPr>
      </w:r>
    </w:p>
    <w:p w:rsidR="00000000" w:rsidDel="00000000" w:rsidP="00000000" w:rsidRDefault="00000000" w:rsidRPr="00000000" w14:paraId="0000006E">
      <w:pPr>
        <w:pStyle w:val="Heading3"/>
        <w:jc w:val="both"/>
        <w:rPr>
          <w:color w:val="000000"/>
        </w:rPr>
      </w:pPr>
      <w:r w:rsidDel="00000000" w:rsidR="00000000" w:rsidRPr="00000000">
        <w:rPr>
          <w:color w:val="000000"/>
          <w:rtl w:val="0"/>
        </w:rPr>
        <w:t xml:space="preserve">2.2. Análisis de Rentabilidad Social y Ambiental (S-TIR)</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El criterio de evaluación 2.1 pide demostrar que el proyecto no solo sea rentable en términos financieros, sino también en beneficios reales para la sociedad. Por eso, la propuesta de </w:t>
      </w:r>
      <w:r w:rsidDel="00000000" w:rsidR="00000000" w:rsidRPr="00000000">
        <w:rPr>
          <w:rFonts w:ascii="Times New Roman" w:cs="Times New Roman" w:eastAsia="Times New Roman" w:hAnsi="Times New Roman"/>
          <w:b w:val="1"/>
          <w:bCs w:val="1"/>
          <w:sz w:val="24"/>
          <w:szCs w:val="24"/>
          <w:rtl w:val="0"/>
        </w:rPr>
        <w:t xml:space="preserve">Santo Domingo 2036</w:t>
      </w:r>
      <w:r w:rsidDel="00000000" w:rsidR="00000000" w:rsidRPr="00000000">
        <w:rPr>
          <w:rFonts w:ascii="Times New Roman" w:cs="Times New Roman" w:eastAsia="Times New Roman" w:hAnsi="Times New Roman"/>
          <w:sz w:val="24"/>
          <w:szCs w:val="24"/>
          <w:rtl w:val="0"/>
        </w:rPr>
        <w:t xml:space="preserve"> calcula una </w:t>
      </w:r>
      <w:r w:rsidDel="00000000" w:rsidR="00000000" w:rsidRPr="00000000">
        <w:rPr>
          <w:rFonts w:ascii="Times New Roman" w:cs="Times New Roman" w:eastAsia="Times New Roman" w:hAnsi="Times New Roman"/>
          <w:b w:val="1"/>
          <w:bCs w:val="1"/>
          <w:sz w:val="24"/>
          <w:szCs w:val="24"/>
          <w:rtl w:val="0"/>
        </w:rPr>
        <w:t xml:space="preserve">Tasa Interna de Retorno Social</w:t>
      </w:r>
      <w:r w:rsidDel="00000000" w:rsidR="00000000" w:rsidRPr="00000000">
        <w:rPr>
          <w:rFonts w:ascii="Times New Roman" w:cs="Times New Roman" w:eastAsia="Times New Roman" w:hAnsi="Times New Roman"/>
          <w:sz w:val="24"/>
          <w:szCs w:val="24"/>
          <w:rtl w:val="0"/>
        </w:rPr>
        <w:t xml:space="preserve">, tomando en cuenta impactos que normalmente no aparecen en una caja de ingresos directos. Entre ellos está el valor del tiempo que los ciudadanos recuperarán al reducir sus traslados diarios de 120 a 45 minutos, lo que representa más productividad, más tiempo familiar y mejor calidad de vida para millones de personas. También se consideran los beneficios ambientales, como una mejor calidad del aire, menos gastos en salud pública y menores costos de mantenimiento vial gracias a una movilidad más limpia y compartida. En conjunto, la proyección indica que el beneficio social generado sería mayor que el costo del capital invertido, demostrando que el proyecto no solo cuesta, sino que devuelve valor al país. </w:t>
      </w:r>
      <w:r w:rsidDel="00000000" w:rsidR="00000000" w:rsidRPr="00000000">
        <w:rPr>
          <w:rtl w:val="0"/>
        </w:rPr>
      </w:r>
    </w:p>
    <w:p w:rsidR="00000000" w:rsidDel="00000000" w:rsidP="00000000" w:rsidRDefault="00000000" w:rsidRPr="00000000" w14:paraId="00000070">
      <w:pPr>
        <w:pStyle w:val="Heading3"/>
        <w:jc w:val="both"/>
        <w:rPr>
          <w:color w:val="000000"/>
        </w:rPr>
      </w:pPr>
      <w:r w:rsidDel="00000000" w:rsidR="00000000" w:rsidRPr="00000000">
        <w:rPr>
          <w:color w:val="000000"/>
          <w:rtl w:val="0"/>
        </w:rPr>
        <w:t xml:space="preserve">2.3. Índice de Eficiencia Fiscal Verde (IEFV): Aplicación de las Leyes 57-07 y 103-13</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de evaluación 2.1 pide demostrar que el proyecto no solo sea rentable en términos financieros, sino también en beneficios reales para la sociedad. Por eso, la propuesta de </w:t>
      </w:r>
      <w:r w:rsidDel="00000000" w:rsidR="00000000" w:rsidRPr="00000000">
        <w:rPr>
          <w:rFonts w:ascii="Times New Roman" w:cs="Times New Roman" w:eastAsia="Times New Roman" w:hAnsi="Times New Roman"/>
          <w:b w:val="1"/>
          <w:bCs w:val="1"/>
          <w:sz w:val="24"/>
          <w:szCs w:val="24"/>
          <w:rtl w:val="0"/>
        </w:rPr>
        <w:t xml:space="preserve">Santo Domingo 2036</w:t>
      </w:r>
      <w:r w:rsidDel="00000000" w:rsidR="00000000" w:rsidRPr="00000000">
        <w:rPr>
          <w:rFonts w:ascii="Times New Roman" w:cs="Times New Roman" w:eastAsia="Times New Roman" w:hAnsi="Times New Roman"/>
          <w:sz w:val="24"/>
          <w:szCs w:val="24"/>
          <w:rtl w:val="0"/>
        </w:rPr>
        <w:t xml:space="preserve"> calcula una </w:t>
      </w:r>
      <w:r w:rsidDel="00000000" w:rsidR="00000000" w:rsidRPr="00000000">
        <w:rPr>
          <w:rFonts w:ascii="Times New Roman" w:cs="Times New Roman" w:eastAsia="Times New Roman" w:hAnsi="Times New Roman"/>
          <w:b w:val="1"/>
          <w:bCs w:val="1"/>
          <w:sz w:val="24"/>
          <w:szCs w:val="24"/>
          <w:rtl w:val="0"/>
        </w:rPr>
        <w:t xml:space="preserve">Tasa Interna de Retorno Social</w:t>
      </w:r>
      <w:r w:rsidDel="00000000" w:rsidR="00000000" w:rsidRPr="00000000">
        <w:rPr>
          <w:rFonts w:ascii="Times New Roman" w:cs="Times New Roman" w:eastAsia="Times New Roman" w:hAnsi="Times New Roman"/>
          <w:sz w:val="24"/>
          <w:szCs w:val="24"/>
          <w:rtl w:val="0"/>
        </w:rPr>
        <w:t xml:space="preserve">, tomando en cuenta impactos que normalmente no aparecen en una caja de ingresos directos. Entre ellos está el valor del tiempo que los ciudadanos recuperarán al reducir sus traslados diarios de 120 a 45 minutos, lo que representa más productividad, más tiempo familiar y mejor calidad de vida para millones de personas. También se consideran los beneficios ambientales, como una mejor calidad del aire, menos gastos en salud pública y menores costos de mantenimiento vial gracias a una movilidad más limpia y compartida. En conjunto, la proyección indica que el beneficio social generado sería mayor que el costo del capital invertido, demostrando que el proyecto no solo cuesta, sino que devuelve valor al país.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pStyle w:val="Heading3"/>
        <w:jc w:val="both"/>
        <w:rPr>
          <w:color w:val="000000"/>
        </w:rPr>
      </w:pPr>
      <w:r w:rsidDel="00000000" w:rsidR="00000000" w:rsidRPr="00000000">
        <w:rPr>
          <w:color w:val="000000"/>
          <w:rtl w:val="0"/>
        </w:rPr>
        <w:t xml:space="preserve">2.4. Valoración de Activos Certificados y Payback Descontado (PRD-VR)</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El activo inmobiliario de </w:t>
      </w:r>
      <w:r w:rsidDel="00000000" w:rsidR="00000000" w:rsidRPr="00000000">
        <w:rPr>
          <w:rFonts w:ascii="Times New Roman" w:cs="Times New Roman" w:eastAsia="Times New Roman" w:hAnsi="Times New Roman"/>
          <w:b w:val="1"/>
          <w:bCs w:val="1"/>
          <w:sz w:val="24"/>
          <w:szCs w:val="24"/>
          <w:rtl w:val="0"/>
        </w:rPr>
        <w:t xml:space="preserve">Santo Domingo 2036</w:t>
      </w:r>
      <w:r w:rsidDel="00000000" w:rsidR="00000000" w:rsidRPr="00000000">
        <w:rPr>
          <w:rFonts w:ascii="Times New Roman" w:cs="Times New Roman" w:eastAsia="Times New Roman" w:hAnsi="Times New Roman"/>
          <w:sz w:val="24"/>
          <w:szCs w:val="24"/>
          <w:rtl w:val="0"/>
        </w:rPr>
        <w:t xml:space="preserve"> se distingue por mantener su valor a largo plazo mediante edificios sostenibles, certificados </w:t>
      </w:r>
      <w:r w:rsidDel="00000000" w:rsidR="00000000" w:rsidRPr="00000000">
        <w:rPr>
          <w:rFonts w:ascii="Times New Roman" w:cs="Times New Roman" w:eastAsia="Times New Roman" w:hAnsi="Times New Roman"/>
          <w:b w:val="1"/>
          <w:bCs w:val="1"/>
          <w:sz w:val="24"/>
          <w:szCs w:val="24"/>
          <w:rtl w:val="0"/>
        </w:rPr>
        <w:t xml:space="preserve">LEED/EDGE</w:t>
      </w:r>
      <w:r w:rsidDel="00000000" w:rsidR="00000000" w:rsidRPr="00000000">
        <w:rPr>
          <w:rFonts w:ascii="Times New Roman" w:cs="Times New Roman" w:eastAsia="Times New Roman" w:hAnsi="Times New Roman"/>
          <w:sz w:val="24"/>
          <w:szCs w:val="24"/>
          <w:rtl w:val="0"/>
        </w:rPr>
        <w:t xml:space="preserve"> y conectados inteligentemente. Se proyecta una recuperación de inversión entre </w:t>
      </w:r>
      <w:r w:rsidDel="00000000" w:rsidR="00000000" w:rsidRPr="00000000">
        <w:rPr>
          <w:rFonts w:ascii="Times New Roman" w:cs="Times New Roman" w:eastAsia="Times New Roman" w:hAnsi="Times New Roman"/>
          <w:b w:val="1"/>
          <w:bCs w:val="1"/>
          <w:sz w:val="24"/>
          <w:szCs w:val="24"/>
          <w:rtl w:val="0"/>
        </w:rPr>
        <w:t xml:space="preserve">6 y 10 años</w:t>
      </w:r>
      <w:r w:rsidDel="00000000" w:rsidR="00000000" w:rsidRPr="00000000">
        <w:rPr>
          <w:rFonts w:ascii="Times New Roman" w:cs="Times New Roman" w:eastAsia="Times New Roman" w:hAnsi="Times New Roman"/>
          <w:sz w:val="24"/>
          <w:szCs w:val="24"/>
          <w:rtl w:val="0"/>
        </w:rPr>
        <w:t xml:space="preserve">, según el eje estratégico, con el </w:t>
      </w:r>
      <w:r w:rsidDel="00000000" w:rsidR="00000000" w:rsidRPr="00000000">
        <w:rPr>
          <w:rFonts w:ascii="Times New Roman" w:cs="Times New Roman" w:eastAsia="Times New Roman" w:hAnsi="Times New Roman"/>
          <w:b w:val="1"/>
          <w:bCs w:val="1"/>
          <w:sz w:val="24"/>
          <w:szCs w:val="24"/>
          <w:rtl w:val="0"/>
        </w:rPr>
        <w:t xml:space="preserve">Hub de Innovación</w:t>
      </w:r>
      <w:r w:rsidDel="00000000" w:rsidR="00000000" w:rsidRPr="00000000">
        <w:rPr>
          <w:rFonts w:ascii="Times New Roman" w:cs="Times New Roman" w:eastAsia="Times New Roman" w:hAnsi="Times New Roman"/>
          <w:sz w:val="24"/>
          <w:szCs w:val="24"/>
          <w:rtl w:val="0"/>
        </w:rPr>
        <w:t xml:space="preserve"> como el componente de retorno más rápido. Además, la analítica de datos urbanos se plantea como una nueva fuente de ingresos escalable para el proyecto. </w:t>
      </w:r>
      <w:r w:rsidDel="00000000" w:rsidR="00000000" w:rsidRPr="00000000">
        <w:rPr>
          <w:rtl w:val="0"/>
        </w:rPr>
      </w:r>
    </w:p>
    <w:p w:rsidR="00000000" w:rsidDel="00000000" w:rsidP="00000000" w:rsidRDefault="00000000" w:rsidRPr="00000000" w14:paraId="00000079">
      <w:pPr>
        <w:pStyle w:val="Heading2"/>
        <w:jc w:val="both"/>
        <w:rPr/>
      </w:pPr>
      <w:bookmarkStart w:colFirst="0" w:colLast="0" w:name="_heading=h.g2jzfm7b7z7" w:id="8"/>
      <w:bookmarkEnd w:id="8"/>
      <w:r w:rsidDel="00000000" w:rsidR="00000000" w:rsidRPr="00000000">
        <w:rPr>
          <w:rtl w:val="0"/>
        </w:rPr>
        <w:t xml:space="preserve">Pilar 3: Tecnología e Innovación</w:t>
      </w:r>
    </w:p>
    <w:p w:rsidR="00000000" w:rsidDel="00000000" w:rsidP="00000000" w:rsidRDefault="00000000" w:rsidRPr="00000000" w14:paraId="0000007A">
      <w:pPr>
        <w:rPr>
          <w:vertAlign w:val="baseline"/>
        </w:rPr>
      </w:pPr>
      <w:r w:rsidDel="00000000" w:rsidR="00000000" w:rsidRPr="00000000">
        <w:rPr>
          <w:rtl w:val="0"/>
        </w:rPr>
        <w:t xml:space="preserve">La propuesta de </w:t>
      </w:r>
      <w:r w:rsidDel="00000000" w:rsidR="00000000" w:rsidRPr="00000000">
        <w:rPr>
          <w:b w:val="1"/>
          <w:bCs w:val="1"/>
          <w:rtl w:val="0"/>
        </w:rPr>
        <w:t xml:space="preserve">Santo Domingo 2036</w:t>
      </w:r>
      <w:r w:rsidDel="00000000" w:rsidR="00000000" w:rsidRPr="00000000">
        <w:rPr>
          <w:rtl w:val="0"/>
        </w:rPr>
        <w:t xml:space="preserve"> se basa en una lógica clara: primero identifica la crisis urbana, luego plantea soluciones tecnológicas estructurales y finalmente establece resultados medibles. La tecnología no se presenta como un adorno, sino como la base que permite operar la ciudad inteligente mediante </w:t>
      </w:r>
      <w:r w:rsidDel="00000000" w:rsidR="00000000" w:rsidRPr="00000000">
        <w:rPr>
          <w:b w:val="1"/>
          <w:bCs w:val="1"/>
          <w:rtl w:val="0"/>
        </w:rPr>
        <w:t xml:space="preserve">5G</w:t>
      </w:r>
      <w:r w:rsidDel="00000000" w:rsidR="00000000" w:rsidRPr="00000000">
        <w:rPr>
          <w:rtl w:val="0"/>
        </w:rPr>
        <w:t xml:space="preserve"> para servicios en tiempo real, </w:t>
      </w:r>
      <w:r w:rsidDel="00000000" w:rsidR="00000000" w:rsidRPr="00000000">
        <w:rPr>
          <w:b w:val="1"/>
          <w:bCs w:val="1"/>
          <w:rtl w:val="0"/>
        </w:rPr>
        <w:t xml:space="preserve">LoRaWAN</w:t>
      </w:r>
      <w:r w:rsidDel="00000000" w:rsidR="00000000" w:rsidRPr="00000000">
        <w:rPr>
          <w:rtl w:val="0"/>
        </w:rPr>
        <w:t xml:space="preserve"> para sensores de bajo consumo, </w:t>
      </w:r>
      <w:r w:rsidDel="00000000" w:rsidR="00000000" w:rsidRPr="00000000">
        <w:rPr>
          <w:b w:val="1"/>
          <w:bCs w:val="1"/>
          <w:rtl w:val="0"/>
        </w:rPr>
        <w:t xml:space="preserve">fibra óptica</w:t>
      </w:r>
      <w:r w:rsidDel="00000000" w:rsidR="00000000" w:rsidRPr="00000000">
        <w:rPr>
          <w:rtl w:val="0"/>
        </w:rPr>
        <w:t xml:space="preserve"> como red principal de comunicación y </w:t>
      </w:r>
      <w:r w:rsidDel="00000000" w:rsidR="00000000" w:rsidRPr="00000000">
        <w:rPr>
          <w:b w:val="1"/>
          <w:bCs w:val="1"/>
          <w:rtl w:val="0"/>
        </w:rPr>
        <w:t xml:space="preserve">Wi-Fi público</w:t>
      </w:r>
      <w:r w:rsidDel="00000000" w:rsidR="00000000" w:rsidRPr="00000000">
        <w:rPr>
          <w:rtl w:val="0"/>
        </w:rPr>
        <w:t xml:space="preserve"> en espacios clave como parques, plazas y estaciones. </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Integración de tecnologías innovadoras por sector</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Movilidad: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Semáforos adaptativos, GPS en tiempo real, tarjeta única integrada, paradas inteligentes con energía solar y pantallas informativas.</w:t>
      </w:r>
    </w:p>
    <w:p w:rsidR="00000000" w:rsidDel="00000000" w:rsidP="00000000" w:rsidRDefault="00000000" w:rsidRPr="00000000" w14:paraId="000000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Salud: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Historia clínica electrónica unificada, telemedicina, triaje digital en emergencias, camas con sensores IoT y apoyo de IA para diagnósticos.</w:t>
      </w:r>
    </w:p>
    <w:p w:rsidR="00000000" w:rsidDel="00000000" w:rsidP="00000000" w:rsidRDefault="00000000" w:rsidRPr="00000000" w14:paraId="000000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Energía: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Smart grid, medidores inteligentes que eliminan facturas estimadas, microrredes solares comunitarias y alumbrado LED con sensores que ahorra hasta 60% del consumo.</w:t>
      </w:r>
    </w:p>
    <w:p w:rsidR="00000000" w:rsidDel="00000000" w:rsidP="00000000" w:rsidRDefault="00000000" w:rsidRPr="00000000" w14:paraId="000000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Sensores de presión y caudal en red CAASD para detectar fugas enormes, estaciones de monitoreo de calidad y riego inteligente en parques.</w:t>
      </w:r>
    </w:p>
    <w:p w:rsidR="00000000" w:rsidDel="00000000" w:rsidP="00000000" w:rsidRDefault="00000000" w:rsidRPr="00000000" w14:paraId="000000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Seguridad ciudadana: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 de cámaras con análisis por IA conectadas al 9-1-1, botones de pánico, sensores acústicos para detectar disparos, drones de respuesta rápida y app ciudadana de denuncia anónima.</w:t>
      </w:r>
    </w:p>
    <w:p w:rsidR="00000000" w:rsidDel="00000000" w:rsidP="00000000" w:rsidRDefault="00000000" w:rsidRPr="00000000" w14:paraId="000000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Gobierno digital: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Identidad digital única inspirada en el modelo de Estonia, app ciudadana integral, trámites 100% en línea, presupuesto participativo digital y transparencia por blockchain.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Disrupción tecnológica con impacto práctico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propuesta no importa tecnología irrelevante. Cada solución está seleccionada por su aplicabilidad al contexto dominicano, su escalabilidad y su impacto comprobable: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Sensores ESP32 de bajo costo ya operando en escuelas aliadas de Actuana Academy</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Centro de Operaciones de Ciudad (COC) integrado al sistema de monitoreo ambiental</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Edificios inteligentes con paneles solares, sistema BMS, iluminación LED y control de acceso biométrico</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Educación STEAM — El factor que multiplica todo</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Laboratorios STEAM con robótica, programación y tecnología aplicada en cada distrito escolar</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Formación docente continua obligatoria con evaluaciones periódicas de desempeño</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Proceso de ingreso al magisterio basado en competencias verificadas mediante pruebas estandarizadas de dominio disciplinar, capacidad pedagógica y aptitud con distintos perfiles estudiantiles</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Actuana Academy como evidencia local: más de 1,200 estudiantes y pilotos con sensores ESP32 que demuestran que esta metodología transforma el aprendizaje y genera soluciones urbanas reales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Impacto social, educativo y ambiental</w:t>
      </w:r>
      <w:r w:rsidDel="00000000" w:rsidR="00000000" w:rsidRPr="00000000">
        <w:rPr>
          <w:rtl w:val="0"/>
        </w:rPr>
      </w:r>
    </w:p>
    <w:tbl>
      <w:tblPr>
        <w:tblStyle w:val="Table1"/>
        <w:tblW w:w="9350.0" w:type="dxa"/>
        <w:jc w:val="left"/>
        <w:tblBorders>
          <w:top w:color="45b0e1" w:space="0" w:sz="4" w:val="single"/>
          <w:left w:color="45b0e1" w:space="0" w:sz="4" w:val="single"/>
          <w:bottom w:color="45b0e1" w:space="0" w:sz="4" w:val="single"/>
          <w:right w:color="45b0e1" w:space="0" w:sz="4" w:val="single"/>
          <w:insideH w:color="45b0e1" w:space="0" w:sz="4" w:val="single"/>
          <w:insideV w:color="45b0e1" w:space="0" w:sz="4" w:val="single"/>
        </w:tblBorders>
        <w:tblLayout w:type="fixed"/>
        <w:tblLook w:val="04A0"/>
      </w:tblPr>
      <w:tblGrid>
        <w:gridCol w:w="3391"/>
        <w:gridCol w:w="5959"/>
        <w:tblGridChange w:id="0">
          <w:tblGrid>
            <w:gridCol w:w="3391"/>
            <w:gridCol w:w="5959"/>
          </w:tblGrid>
        </w:tblGridChange>
      </w:tblGrid>
      <w:tr>
        <w:trPr>
          <w:cantSplit w:val="0"/>
          <w:tblHeader w:val="0"/>
        </w:trPr>
        <w:tc>
          <w:tcPr/>
          <w:p w:rsidR="00000000" w:rsidDel="00000000" w:rsidP="00000000" w:rsidRDefault="00000000" w:rsidRPr="00000000" w14:paraId="0000008D">
            <w:pPr>
              <w:jc w:val="both"/>
              <w:rPr/>
            </w:pPr>
            <w:r w:rsidDel="00000000" w:rsidR="00000000" w:rsidRPr="00000000">
              <w:rPr>
                <w:rtl w:val="0"/>
              </w:rPr>
              <w:t xml:space="preserve">Grupo vulnerable</w:t>
            </w:r>
          </w:p>
        </w:tc>
        <w:tc>
          <w:tcPr/>
          <w:p w:rsidR="00000000" w:rsidDel="00000000" w:rsidP="00000000" w:rsidRDefault="00000000" w:rsidRPr="00000000" w14:paraId="0000008E">
            <w:pPr>
              <w:jc w:val="both"/>
              <w:rPr/>
            </w:pPr>
            <w:r w:rsidDel="00000000" w:rsidR="00000000" w:rsidRPr="00000000">
              <w:rPr>
                <w:rtl w:val="0"/>
              </w:rPr>
              <w:t xml:space="preserve">Impacto concreto</w:t>
            </w:r>
          </w:p>
        </w:tc>
      </w:tr>
      <w:tr>
        <w:trPr>
          <w:cantSplit w:val="0"/>
          <w:tblHeader w:val="0"/>
        </w:trPr>
        <w:tc>
          <w:tcPr/>
          <w:p w:rsidR="00000000" w:rsidDel="00000000" w:rsidP="00000000" w:rsidRDefault="00000000" w:rsidRPr="00000000" w14:paraId="0000008F">
            <w:pPr>
              <w:jc w:val="both"/>
              <w:rPr>
                <w:b w:val="0"/>
                <w:bCs w:val="0"/>
              </w:rPr>
            </w:pPr>
            <w:r w:rsidDel="00000000" w:rsidR="00000000" w:rsidRPr="00000000">
              <w:rPr>
                <w:rtl w:val="0"/>
              </w:rPr>
              <w:t xml:space="preserve">Mujeres jefas de hogar</w:t>
            </w:r>
            <w:r w:rsidDel="00000000" w:rsidR="00000000" w:rsidRPr="00000000">
              <w:rPr>
                <w:rtl w:val="0"/>
              </w:rPr>
            </w:r>
          </w:p>
        </w:tc>
        <w:tc>
          <w:tcPr/>
          <w:p w:rsidR="00000000" w:rsidDel="00000000" w:rsidP="00000000" w:rsidRDefault="00000000" w:rsidRPr="00000000" w14:paraId="00000090">
            <w:pPr>
              <w:jc w:val="both"/>
              <w:rPr/>
            </w:pPr>
            <w:r w:rsidDel="00000000" w:rsidR="00000000" w:rsidRPr="00000000">
              <w:rPr>
                <w:rtl w:val="0"/>
              </w:rPr>
              <w:t xml:space="preserve">2 horas diarias recuperadas; menor riesgo en transporte público</w:t>
            </w:r>
          </w:p>
        </w:tc>
      </w:tr>
      <w:tr>
        <w:trPr>
          <w:cantSplit w:val="0"/>
          <w:tblHeader w:val="0"/>
        </w:trPr>
        <w:tc>
          <w:tcPr/>
          <w:p w:rsidR="00000000" w:rsidDel="00000000" w:rsidP="00000000" w:rsidRDefault="00000000" w:rsidRPr="00000000" w14:paraId="00000091">
            <w:pPr>
              <w:jc w:val="both"/>
              <w:rPr/>
            </w:pPr>
            <w:r w:rsidDel="00000000" w:rsidR="00000000" w:rsidRPr="00000000">
              <w:rPr>
                <w:rtl w:val="0"/>
              </w:rPr>
              <w:t xml:space="preserve">Personas con discapacidad</w:t>
            </w:r>
          </w:p>
        </w:tc>
        <w:tc>
          <w:tcPr/>
          <w:p w:rsidR="00000000" w:rsidDel="00000000" w:rsidP="00000000" w:rsidRDefault="00000000" w:rsidRPr="00000000" w14:paraId="00000092">
            <w:pPr>
              <w:jc w:val="both"/>
              <w:rPr/>
            </w:pPr>
            <w:r w:rsidDel="00000000" w:rsidR="00000000" w:rsidRPr="00000000">
              <w:rPr>
                <w:rtl w:val="0"/>
              </w:rPr>
              <w:t xml:space="preserve">Estaciones accesibles, telemedicina, trámites digitales accesibles</w:t>
            </w:r>
          </w:p>
        </w:tc>
      </w:tr>
      <w:tr>
        <w:trPr>
          <w:cantSplit w:val="0"/>
          <w:tblHeader w:val="0"/>
        </w:trPr>
        <w:tc>
          <w:tcPr/>
          <w:p w:rsidR="00000000" w:rsidDel="00000000" w:rsidP="00000000" w:rsidRDefault="00000000" w:rsidRPr="00000000" w14:paraId="00000093">
            <w:pPr>
              <w:jc w:val="both"/>
              <w:rPr/>
            </w:pPr>
            <w:r w:rsidDel="00000000" w:rsidR="00000000" w:rsidRPr="00000000">
              <w:rPr>
                <w:rtl w:val="0"/>
              </w:rPr>
              <w:t xml:space="preserve">Adultos mayores</w:t>
            </w:r>
          </w:p>
        </w:tc>
        <w:tc>
          <w:tcPr/>
          <w:p w:rsidR="00000000" w:rsidDel="00000000" w:rsidP="00000000" w:rsidRDefault="00000000" w:rsidRPr="00000000" w14:paraId="00000094">
            <w:pPr>
              <w:jc w:val="both"/>
              <w:rPr/>
            </w:pPr>
            <w:r w:rsidDel="00000000" w:rsidR="00000000" w:rsidRPr="00000000">
              <w:rPr>
                <w:rtl w:val="0"/>
              </w:rPr>
              <w:t xml:space="preserve">Tarjeta preferencial integrada, atención presencial garantizada</w:t>
            </w:r>
          </w:p>
        </w:tc>
      </w:tr>
      <w:tr>
        <w:trPr>
          <w:cantSplit w:val="0"/>
          <w:tblHeader w:val="0"/>
        </w:trPr>
        <w:tc>
          <w:tcPr/>
          <w:p w:rsidR="00000000" w:rsidDel="00000000" w:rsidP="00000000" w:rsidRDefault="00000000" w:rsidRPr="00000000" w14:paraId="00000095">
            <w:pPr>
              <w:jc w:val="both"/>
              <w:rPr/>
            </w:pPr>
            <w:r w:rsidDel="00000000" w:rsidR="00000000" w:rsidRPr="00000000">
              <w:rPr>
                <w:rtl w:val="0"/>
              </w:rPr>
              <w:t xml:space="preserve">Niñez y adolescencia</w:t>
            </w:r>
          </w:p>
        </w:tc>
        <w:tc>
          <w:tcPr/>
          <w:p w:rsidR="00000000" w:rsidDel="00000000" w:rsidP="00000000" w:rsidRDefault="00000000" w:rsidRPr="00000000" w14:paraId="00000096">
            <w:pPr>
              <w:jc w:val="both"/>
              <w:rPr/>
            </w:pPr>
            <w:r w:rsidDel="00000000" w:rsidR="00000000" w:rsidRPr="00000000">
              <w:rPr>
                <w:rtl w:val="0"/>
              </w:rPr>
              <w:t xml:space="preserve">Laboratorios STEAM, Wi-Fi en escuelas, rutas escolares seguras</w:t>
            </w:r>
          </w:p>
        </w:tc>
      </w:tr>
      <w:tr>
        <w:trPr>
          <w:cantSplit w:val="0"/>
          <w:tblHeader w:val="0"/>
        </w:trPr>
        <w:tc>
          <w:tcPr/>
          <w:p w:rsidR="00000000" w:rsidDel="00000000" w:rsidP="00000000" w:rsidRDefault="00000000" w:rsidRPr="00000000" w14:paraId="00000097">
            <w:pPr>
              <w:jc w:val="both"/>
              <w:rPr/>
            </w:pPr>
            <w:r w:rsidDel="00000000" w:rsidR="00000000" w:rsidRPr="00000000">
              <w:rPr>
                <w:rtl w:val="0"/>
              </w:rPr>
              <w:t xml:space="preserve">Familias en zonas de inundación</w:t>
            </w:r>
          </w:p>
        </w:tc>
        <w:tc>
          <w:tcPr/>
          <w:p w:rsidR="00000000" w:rsidDel="00000000" w:rsidP="00000000" w:rsidRDefault="00000000" w:rsidRPr="00000000" w14:paraId="00000098">
            <w:pPr>
              <w:jc w:val="both"/>
              <w:rPr/>
            </w:pPr>
            <w:r w:rsidDel="00000000" w:rsidR="00000000" w:rsidRPr="00000000">
              <w:rPr>
                <w:rtl w:val="0"/>
              </w:rPr>
              <w:t xml:space="preserve">Alerta temprana ESP32, recuperación del corredor del Ozama</w:t>
            </w:r>
          </w:p>
        </w:tc>
      </w:tr>
      <w:tr>
        <w:trPr>
          <w:cantSplit w:val="0"/>
          <w:tblHeader w:val="0"/>
        </w:trPr>
        <w:tc>
          <w:tcPr/>
          <w:p w:rsidR="00000000" w:rsidDel="00000000" w:rsidP="00000000" w:rsidRDefault="00000000" w:rsidRPr="00000000" w14:paraId="00000099">
            <w:pPr>
              <w:jc w:val="both"/>
              <w:rPr/>
            </w:pPr>
            <w:r w:rsidDel="00000000" w:rsidR="00000000" w:rsidRPr="00000000">
              <w:rPr>
                <w:rtl w:val="0"/>
              </w:rPr>
              <w:t xml:space="preserve">Trabajadores informales</w:t>
            </w:r>
          </w:p>
        </w:tc>
        <w:tc>
          <w:tcPr/>
          <w:p w:rsidR="00000000" w:rsidDel="00000000" w:rsidP="00000000" w:rsidRDefault="00000000" w:rsidRPr="00000000" w14:paraId="0000009A">
            <w:pPr>
              <w:jc w:val="both"/>
              <w:rPr/>
            </w:pPr>
            <w:r w:rsidDel="00000000" w:rsidR="00000000" w:rsidRPr="00000000">
              <w:rPr>
                <w:rtl w:val="0"/>
              </w:rPr>
              <w:t xml:space="preserve">Formalización progresiva, coworking gratuito, formación técnica</w:t>
            </w:r>
          </w:p>
        </w:tc>
      </w:tr>
    </w:tb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Privacidad y ética digital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ciudad inteligente sin marco de protección no es inteligente, es vigilante. La propuesta garantiza cumplimiento estricto de la Ley 172-13, anonimización por diseño, auditoría algorítmica externa anual y derecho al ciudadano analógico garantizado en paralelo a todos los servicios digitales.</w:t>
      </w:r>
    </w:p>
    <w:p w:rsidR="00000000" w:rsidDel="00000000" w:rsidP="00000000" w:rsidRDefault="00000000" w:rsidRPr="00000000" w14:paraId="0000009C">
      <w:pPr>
        <w:pStyle w:val="Heading2"/>
        <w:jc w:val="both"/>
        <w:rPr/>
      </w:pPr>
      <w:bookmarkStart w:colFirst="0" w:colLast="0" w:name="_heading=h.xvc1bbtsmbhg" w:id="9"/>
      <w:bookmarkEnd w:id="9"/>
      <w:r w:rsidDel="00000000" w:rsidR="00000000" w:rsidRPr="00000000">
        <w:rPr>
          <w:rtl w:val="0"/>
        </w:rPr>
        <w:t xml:space="preserve">Pilar 4: Marco Legal, Gobernanza y ODS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Integración normativa — Alineación con los ODS priorizados</w:t>
      </w:r>
      <w:r w:rsidDel="00000000" w:rsidR="00000000" w:rsidRPr="00000000">
        <w:rPr>
          <w:rtl w:val="0"/>
        </w:rPr>
      </w:r>
    </w:p>
    <w:tbl>
      <w:tblPr>
        <w:tblStyle w:val="Table2"/>
        <w:tblW w:w="9350.0" w:type="dxa"/>
        <w:jc w:val="left"/>
        <w:tblBorders>
          <w:top w:color="45b0e1" w:space="0" w:sz="4" w:val="single"/>
          <w:left w:color="45b0e1" w:space="0" w:sz="4" w:val="single"/>
          <w:bottom w:color="45b0e1" w:space="0" w:sz="4" w:val="single"/>
          <w:right w:color="45b0e1" w:space="0" w:sz="4" w:val="single"/>
          <w:insideH w:color="45b0e1" w:space="0" w:sz="4" w:val="single"/>
          <w:insideV w:color="45b0e1" w:space="0" w:sz="4" w:val="single"/>
        </w:tblBorders>
        <w:tblLayout w:type="fixed"/>
        <w:tblLook w:val="04A0"/>
      </w:tblPr>
      <w:tblGrid>
        <w:gridCol w:w="3557"/>
        <w:gridCol w:w="5793"/>
        <w:tblGridChange w:id="0">
          <w:tblGrid>
            <w:gridCol w:w="3557"/>
            <w:gridCol w:w="5793"/>
          </w:tblGrid>
        </w:tblGridChange>
      </w:tblGrid>
      <w:tr>
        <w:trPr>
          <w:cantSplit w:val="0"/>
          <w:tblHeader w:val="0"/>
        </w:trPr>
        <w:tc>
          <w:tcPr/>
          <w:p w:rsidR="00000000" w:rsidDel="00000000" w:rsidP="00000000" w:rsidRDefault="00000000" w:rsidRPr="00000000" w14:paraId="0000009E">
            <w:pPr>
              <w:jc w:val="both"/>
              <w:rPr/>
            </w:pPr>
            <w:r w:rsidDel="00000000" w:rsidR="00000000" w:rsidRPr="00000000">
              <w:rPr>
                <w:rtl w:val="0"/>
              </w:rPr>
              <w:t xml:space="preserve">ODS</w:t>
            </w:r>
          </w:p>
        </w:tc>
        <w:tc>
          <w:tcPr/>
          <w:p w:rsidR="00000000" w:rsidDel="00000000" w:rsidP="00000000" w:rsidRDefault="00000000" w:rsidRPr="00000000" w14:paraId="0000009F">
            <w:pPr>
              <w:jc w:val="both"/>
              <w:rPr/>
            </w:pPr>
            <w:r w:rsidDel="00000000" w:rsidR="00000000" w:rsidRPr="00000000">
              <w:rPr>
                <w:rtl w:val="0"/>
              </w:rPr>
              <w:t xml:space="preserve">Aporte concreto de la propuesta</w:t>
            </w:r>
          </w:p>
        </w:tc>
      </w:tr>
      <w:tr>
        <w:trPr>
          <w:cantSplit w:val="0"/>
          <w:tblHeader w:val="0"/>
        </w:trPr>
        <w:tc>
          <w:tcPr/>
          <w:p w:rsidR="00000000" w:rsidDel="00000000" w:rsidP="00000000" w:rsidRDefault="00000000" w:rsidRPr="00000000" w14:paraId="000000A0">
            <w:pPr>
              <w:jc w:val="both"/>
              <w:rPr>
                <w:b w:val="0"/>
                <w:bCs w:val="0"/>
              </w:rPr>
            </w:pPr>
            <w:r w:rsidDel="00000000" w:rsidR="00000000" w:rsidRPr="00000000">
              <w:rPr>
                <w:rtl w:val="0"/>
              </w:rPr>
              <w:t xml:space="preserve">ODS 7 · Energía asequible</w:t>
            </w:r>
            <w:r w:rsidDel="00000000" w:rsidR="00000000" w:rsidRPr="00000000">
              <w:rPr>
                <w:rtl w:val="0"/>
              </w:rPr>
            </w:r>
          </w:p>
        </w:tc>
        <w:tc>
          <w:tcPr/>
          <w:p w:rsidR="00000000" w:rsidDel="00000000" w:rsidP="00000000" w:rsidRDefault="00000000" w:rsidRPr="00000000" w14:paraId="000000A1">
            <w:pPr>
              <w:jc w:val="both"/>
              <w:rPr/>
            </w:pPr>
            <w:r w:rsidDel="00000000" w:rsidR="00000000" w:rsidRPr="00000000">
              <w:rPr>
                <w:rtl w:val="0"/>
              </w:rPr>
              <w:t xml:space="preserve">Smart grid, renovables, Ley 57-07, microrredes solares comunitarias</w:t>
            </w:r>
          </w:p>
        </w:tc>
      </w:tr>
      <w:tr>
        <w:trPr>
          <w:cantSplit w:val="0"/>
          <w:tblHeader w:val="0"/>
        </w:trPr>
        <w:tc>
          <w:tcPr/>
          <w:p w:rsidR="00000000" w:rsidDel="00000000" w:rsidP="00000000" w:rsidRDefault="00000000" w:rsidRPr="00000000" w14:paraId="000000A2">
            <w:pPr>
              <w:jc w:val="both"/>
              <w:rPr/>
            </w:pPr>
            <w:r w:rsidDel="00000000" w:rsidR="00000000" w:rsidRPr="00000000">
              <w:rPr>
                <w:rtl w:val="0"/>
              </w:rPr>
              <w:t xml:space="preserve">ODS 9 · Innovación e infraestructura</w:t>
            </w:r>
          </w:p>
        </w:tc>
        <w:tc>
          <w:tcPr/>
          <w:p w:rsidR="00000000" w:rsidDel="00000000" w:rsidP="00000000" w:rsidRDefault="00000000" w:rsidRPr="00000000" w14:paraId="000000A3">
            <w:pPr>
              <w:jc w:val="both"/>
              <w:rPr/>
            </w:pPr>
            <w:r w:rsidDel="00000000" w:rsidR="00000000" w:rsidRPr="00000000">
              <w:rPr>
                <w:rtl w:val="0"/>
              </w:rPr>
              <w:t xml:space="preserve">Metro, Hub de Innovación del Caribe, laboratorios STEAM</w:t>
            </w:r>
          </w:p>
        </w:tc>
      </w:tr>
      <w:tr>
        <w:trPr>
          <w:cantSplit w:val="0"/>
          <w:tblHeader w:val="0"/>
        </w:trPr>
        <w:tc>
          <w:tcPr/>
          <w:p w:rsidR="00000000" w:rsidDel="00000000" w:rsidP="00000000" w:rsidRDefault="00000000" w:rsidRPr="00000000" w14:paraId="000000A4">
            <w:pPr>
              <w:jc w:val="both"/>
              <w:rPr/>
            </w:pPr>
            <w:r w:rsidDel="00000000" w:rsidR="00000000" w:rsidRPr="00000000">
              <w:rPr>
                <w:rtl w:val="0"/>
              </w:rPr>
              <w:t xml:space="preserve">ODS 11 · Ciudades sostenibles</w:t>
            </w:r>
          </w:p>
        </w:tc>
        <w:tc>
          <w:tcPr/>
          <w:p w:rsidR="00000000" w:rsidDel="00000000" w:rsidP="00000000" w:rsidRDefault="00000000" w:rsidRPr="00000000" w14:paraId="000000A5">
            <w:pPr>
              <w:jc w:val="both"/>
              <w:rPr/>
            </w:pPr>
            <w:r w:rsidDel="00000000" w:rsidR="00000000" w:rsidRPr="00000000">
              <w:rPr>
                <w:rtl w:val="0"/>
              </w:rPr>
              <w:t xml:space="preserve">Barrio Conectado, transporte masivo, densificación inteligente</w:t>
            </w:r>
          </w:p>
        </w:tc>
      </w:tr>
      <w:tr>
        <w:trPr>
          <w:cantSplit w:val="0"/>
          <w:tblHeader w:val="0"/>
        </w:trPr>
        <w:tc>
          <w:tcPr/>
          <w:p w:rsidR="00000000" w:rsidDel="00000000" w:rsidP="00000000" w:rsidRDefault="00000000" w:rsidRPr="00000000" w14:paraId="000000A6">
            <w:pPr>
              <w:jc w:val="both"/>
              <w:rPr/>
            </w:pPr>
            <w:r w:rsidDel="00000000" w:rsidR="00000000" w:rsidRPr="00000000">
              <w:rPr>
                <w:rtl w:val="0"/>
              </w:rPr>
              <w:t xml:space="preserve">ODS 13 · Acción por el clima</w:t>
            </w:r>
          </w:p>
        </w:tc>
        <w:tc>
          <w:tcPr/>
          <w:p w:rsidR="00000000" w:rsidDel="00000000" w:rsidP="00000000" w:rsidRDefault="00000000" w:rsidRPr="00000000" w14:paraId="000000A7">
            <w:pPr>
              <w:jc w:val="both"/>
              <w:rPr/>
            </w:pPr>
            <w:r w:rsidDel="00000000" w:rsidR="00000000" w:rsidRPr="00000000">
              <w:rPr>
                <w:rtl w:val="0"/>
              </w:rPr>
              <w:t xml:space="preserve">Corredor del Ozama, sensores de alerta, reducción de emisiones</w:t>
            </w:r>
          </w:p>
        </w:tc>
      </w:tr>
      <w:tr>
        <w:trPr>
          <w:cantSplit w:val="0"/>
          <w:tblHeader w:val="0"/>
        </w:trPr>
        <w:tc>
          <w:tcPr/>
          <w:p w:rsidR="00000000" w:rsidDel="00000000" w:rsidP="00000000" w:rsidRDefault="00000000" w:rsidRPr="00000000" w14:paraId="000000A8">
            <w:pPr>
              <w:jc w:val="both"/>
              <w:rPr/>
            </w:pPr>
            <w:r w:rsidDel="00000000" w:rsidR="00000000" w:rsidRPr="00000000">
              <w:rPr>
                <w:rtl w:val="0"/>
              </w:rPr>
              <w:t xml:space="preserve">ODS 16 · Instituciones sólidas</w:t>
            </w:r>
          </w:p>
        </w:tc>
        <w:tc>
          <w:tcPr/>
          <w:p w:rsidR="00000000" w:rsidDel="00000000" w:rsidP="00000000" w:rsidRDefault="00000000" w:rsidRPr="00000000" w14:paraId="000000A9">
            <w:pPr>
              <w:jc w:val="both"/>
              <w:rPr/>
            </w:pPr>
            <w:r w:rsidDel="00000000" w:rsidR="00000000" w:rsidRPr="00000000">
              <w:rPr>
                <w:rtl w:val="0"/>
              </w:rPr>
              <w:t xml:space="preserve">Gobierno digital, blockchain, modernización de los tres poderes</w:t>
            </w:r>
          </w:p>
        </w:tc>
      </w:tr>
      <w:tr>
        <w:trPr>
          <w:cantSplit w:val="0"/>
          <w:tblHeader w:val="0"/>
        </w:trPr>
        <w:tc>
          <w:tcPr/>
          <w:p w:rsidR="00000000" w:rsidDel="00000000" w:rsidP="00000000" w:rsidRDefault="00000000" w:rsidRPr="00000000" w14:paraId="000000AA">
            <w:pPr>
              <w:jc w:val="both"/>
              <w:rPr/>
            </w:pPr>
            <w:r w:rsidDel="00000000" w:rsidR="00000000" w:rsidRPr="00000000">
              <w:rPr>
                <w:rtl w:val="0"/>
              </w:rPr>
              <w:t xml:space="preserve">ODS 17 · Alianzas para los objetivos</w:t>
            </w:r>
          </w:p>
        </w:tc>
        <w:tc>
          <w:tcPr/>
          <w:p w:rsidR="00000000" w:rsidDel="00000000" w:rsidP="00000000" w:rsidRDefault="00000000" w:rsidRPr="00000000" w14:paraId="000000AB">
            <w:pPr>
              <w:jc w:val="both"/>
              <w:rPr/>
            </w:pPr>
            <w:r w:rsidDel="00000000" w:rsidR="00000000" w:rsidRPr="00000000">
              <w:rPr>
                <w:rtl w:val="0"/>
              </w:rPr>
              <w:t xml:space="preserve">BID, Banco Mundial, AFD, APP Ley 47-20</w:t>
            </w:r>
          </w:p>
        </w:tc>
      </w:tr>
    </w:tbl>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Coherencia con la Ley 1-12 — Estrategia Nacional de Desarrollo 2030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componente de Santo Domingo 2036 está alineado con metas específicas de la END que aún no se han cumplido. La propuesta no contradice la estrategia nacional: la profundiza y le da forma concreta. Los cuatro ejes de la END —Estado eficiente, economía competitiva, infraestructura territorial y sociedad cohesionada— están presentes en cada decisión de diseño de esta propuesta.</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Viabilidad jurídica — 12 leyes vigentes, ninguna reforma requerida</w:t>
      </w:r>
      <w:r w:rsidDel="00000000" w:rsidR="00000000" w:rsidRPr="00000000">
        <w:rPr>
          <w:rtl w:val="0"/>
        </w:rPr>
      </w:r>
    </w:p>
    <w:tbl>
      <w:tblPr>
        <w:tblStyle w:val="Table3"/>
        <w:tblW w:w="5385.999999999999" w:type="dxa"/>
        <w:jc w:val="left"/>
        <w:tblBorders>
          <w:top w:color="45b0e1" w:space="0" w:sz="4" w:val="single"/>
          <w:left w:color="45b0e1" w:space="0" w:sz="4" w:val="single"/>
          <w:bottom w:color="45b0e1" w:space="0" w:sz="4" w:val="single"/>
          <w:right w:color="45b0e1" w:space="0" w:sz="4" w:val="single"/>
          <w:insideH w:color="45b0e1" w:space="0" w:sz="4" w:val="single"/>
          <w:insideV w:color="45b0e1" w:space="0" w:sz="4" w:val="single"/>
        </w:tblBorders>
        <w:tblLayout w:type="fixed"/>
        <w:tblLook w:val="04A0"/>
      </w:tblPr>
      <w:tblGrid>
        <w:gridCol w:w="1342"/>
        <w:gridCol w:w="4044"/>
        <w:tblGridChange w:id="0">
          <w:tblGrid>
            <w:gridCol w:w="1342"/>
            <w:gridCol w:w="4044"/>
          </w:tblGrid>
        </w:tblGridChange>
      </w:tblGrid>
      <w:tr>
        <w:trPr>
          <w:cantSplit w:val="0"/>
          <w:tblHeader w:val="0"/>
        </w:trPr>
        <w:tc>
          <w:tcPr/>
          <w:p w:rsidR="00000000" w:rsidDel="00000000" w:rsidP="00000000" w:rsidRDefault="00000000" w:rsidRPr="00000000" w14:paraId="000000B6">
            <w:pPr>
              <w:jc w:val="both"/>
              <w:rPr/>
            </w:pPr>
            <w:r w:rsidDel="00000000" w:rsidR="00000000" w:rsidRPr="00000000">
              <w:rPr>
                <w:b w:val="0"/>
                <w:bCs w:val="0"/>
                <w:rtl w:val="0"/>
              </w:rPr>
              <w:t xml:space="preserve">Ley</w:t>
            </w:r>
            <w:r w:rsidDel="00000000" w:rsidR="00000000" w:rsidRPr="00000000">
              <w:rPr>
                <w:rtl w:val="0"/>
              </w:rPr>
            </w:r>
          </w:p>
        </w:tc>
        <w:tc>
          <w:tcPr/>
          <w:p w:rsidR="00000000" w:rsidDel="00000000" w:rsidP="00000000" w:rsidRDefault="00000000" w:rsidRPr="00000000" w14:paraId="000000B7">
            <w:pPr>
              <w:jc w:val="both"/>
              <w:rPr>
                <w:b w:val="0"/>
                <w:bCs w:val="0"/>
              </w:rPr>
            </w:pPr>
            <w:r w:rsidDel="00000000" w:rsidR="00000000" w:rsidRPr="00000000">
              <w:rPr>
                <w:b w:val="0"/>
                <w:bCs w:val="0"/>
                <w:rtl w:val="0"/>
              </w:rPr>
              <w:t xml:space="preserve">Contenido</w:t>
            </w:r>
          </w:p>
        </w:tc>
      </w:tr>
      <w:tr>
        <w:trPr>
          <w:cantSplit w:val="0"/>
          <w:tblHeader w:val="0"/>
        </w:trPr>
        <w:tc>
          <w:tcPr/>
          <w:p w:rsidR="00000000" w:rsidDel="00000000" w:rsidP="00000000" w:rsidRDefault="00000000" w:rsidRPr="00000000" w14:paraId="000000B8">
            <w:pPr>
              <w:jc w:val="both"/>
              <w:rPr>
                <w:b w:val="0"/>
                <w:bCs w:val="0"/>
              </w:rPr>
            </w:pPr>
            <w:r w:rsidDel="00000000" w:rsidR="00000000" w:rsidRPr="00000000">
              <w:rPr>
                <w:rtl w:val="0"/>
              </w:rPr>
              <w:t xml:space="preserve">Ley 1-12</w:t>
            </w:r>
            <w:r w:rsidDel="00000000" w:rsidR="00000000" w:rsidRPr="00000000">
              <w:rPr>
                <w:rtl w:val="0"/>
              </w:rPr>
            </w:r>
          </w:p>
        </w:tc>
        <w:tc>
          <w:tcPr/>
          <w:p w:rsidR="00000000" w:rsidDel="00000000" w:rsidP="00000000" w:rsidRDefault="00000000" w:rsidRPr="00000000" w14:paraId="000000B9">
            <w:pPr>
              <w:jc w:val="both"/>
              <w:rPr/>
            </w:pPr>
            <w:r w:rsidDel="00000000" w:rsidR="00000000" w:rsidRPr="00000000">
              <w:rPr>
                <w:rtl w:val="0"/>
              </w:rPr>
              <w:t xml:space="preserve">Estrategia Nacional de Desarrollo 2030</w:t>
            </w:r>
          </w:p>
        </w:tc>
      </w:tr>
      <w:tr>
        <w:trPr>
          <w:cantSplit w:val="0"/>
          <w:tblHeader w:val="0"/>
        </w:trPr>
        <w:tc>
          <w:tcPr/>
          <w:p w:rsidR="00000000" w:rsidDel="00000000" w:rsidP="00000000" w:rsidRDefault="00000000" w:rsidRPr="00000000" w14:paraId="000000BA">
            <w:pPr>
              <w:jc w:val="both"/>
              <w:rPr/>
            </w:pPr>
            <w:r w:rsidDel="00000000" w:rsidR="00000000" w:rsidRPr="00000000">
              <w:rPr>
                <w:rtl w:val="0"/>
              </w:rPr>
              <w:t xml:space="preserve">Ley 47-20</w:t>
            </w:r>
          </w:p>
        </w:tc>
        <w:tc>
          <w:tcPr/>
          <w:p w:rsidR="00000000" w:rsidDel="00000000" w:rsidP="00000000" w:rsidRDefault="00000000" w:rsidRPr="00000000" w14:paraId="000000BB">
            <w:pPr>
              <w:jc w:val="both"/>
              <w:rPr/>
            </w:pPr>
            <w:r w:rsidDel="00000000" w:rsidR="00000000" w:rsidRPr="00000000">
              <w:rPr>
                <w:rtl w:val="0"/>
              </w:rPr>
              <w:t xml:space="preserve">Alianzas Público-Privadas</w:t>
            </w:r>
          </w:p>
        </w:tc>
      </w:tr>
      <w:tr>
        <w:trPr>
          <w:cantSplit w:val="0"/>
          <w:tblHeader w:val="0"/>
        </w:trPr>
        <w:tc>
          <w:tcPr/>
          <w:p w:rsidR="00000000" w:rsidDel="00000000" w:rsidP="00000000" w:rsidRDefault="00000000" w:rsidRPr="00000000" w14:paraId="000000BC">
            <w:pPr>
              <w:jc w:val="both"/>
              <w:rPr/>
            </w:pPr>
            <w:r w:rsidDel="00000000" w:rsidR="00000000" w:rsidRPr="00000000">
              <w:rPr>
                <w:rtl w:val="0"/>
              </w:rPr>
              <w:t xml:space="preserve">Ley 53-07</w:t>
            </w:r>
          </w:p>
        </w:tc>
        <w:tc>
          <w:tcPr/>
          <w:p w:rsidR="00000000" w:rsidDel="00000000" w:rsidP="00000000" w:rsidRDefault="00000000" w:rsidRPr="00000000" w14:paraId="000000BD">
            <w:pPr>
              <w:jc w:val="both"/>
              <w:rPr/>
            </w:pPr>
            <w:r w:rsidDel="00000000" w:rsidR="00000000" w:rsidRPr="00000000">
              <w:rPr>
                <w:rtl w:val="0"/>
              </w:rPr>
              <w:t xml:space="preserve">Crímenes y delitos tecnológicos</w:t>
            </w:r>
          </w:p>
        </w:tc>
      </w:tr>
      <w:tr>
        <w:trPr>
          <w:cantSplit w:val="0"/>
          <w:tblHeader w:val="0"/>
        </w:trPr>
        <w:tc>
          <w:tcPr/>
          <w:p w:rsidR="00000000" w:rsidDel="00000000" w:rsidP="00000000" w:rsidRDefault="00000000" w:rsidRPr="00000000" w14:paraId="000000BE">
            <w:pPr>
              <w:jc w:val="both"/>
              <w:rPr/>
            </w:pPr>
            <w:r w:rsidDel="00000000" w:rsidR="00000000" w:rsidRPr="00000000">
              <w:rPr>
                <w:rtl w:val="0"/>
              </w:rPr>
              <w:t xml:space="preserve">Ley 57-07</w:t>
            </w:r>
          </w:p>
        </w:tc>
        <w:tc>
          <w:tcPr/>
          <w:p w:rsidR="00000000" w:rsidDel="00000000" w:rsidP="00000000" w:rsidRDefault="00000000" w:rsidRPr="00000000" w14:paraId="000000BF">
            <w:pPr>
              <w:jc w:val="both"/>
              <w:rPr/>
            </w:pPr>
            <w:r w:rsidDel="00000000" w:rsidR="00000000" w:rsidRPr="00000000">
              <w:rPr>
                <w:rtl w:val="0"/>
              </w:rPr>
              <w:t xml:space="preserve">Energías renovables</w:t>
            </w:r>
          </w:p>
        </w:tc>
      </w:tr>
      <w:tr>
        <w:trPr>
          <w:cantSplit w:val="0"/>
          <w:tblHeader w:val="0"/>
        </w:trPr>
        <w:tc>
          <w:tcPr/>
          <w:p w:rsidR="00000000" w:rsidDel="00000000" w:rsidP="00000000" w:rsidRDefault="00000000" w:rsidRPr="00000000" w14:paraId="000000C0">
            <w:pPr>
              <w:jc w:val="both"/>
              <w:rPr/>
            </w:pPr>
            <w:r w:rsidDel="00000000" w:rsidR="00000000" w:rsidRPr="00000000">
              <w:rPr>
                <w:rtl w:val="0"/>
              </w:rPr>
              <w:t xml:space="preserve">Ley 63-17</w:t>
            </w:r>
          </w:p>
        </w:tc>
        <w:tc>
          <w:tcPr/>
          <w:p w:rsidR="00000000" w:rsidDel="00000000" w:rsidP="00000000" w:rsidRDefault="00000000" w:rsidRPr="00000000" w14:paraId="000000C1">
            <w:pPr>
              <w:jc w:val="both"/>
              <w:rPr/>
            </w:pPr>
            <w:r w:rsidDel="00000000" w:rsidR="00000000" w:rsidRPr="00000000">
              <w:rPr>
                <w:rtl w:val="0"/>
              </w:rPr>
              <w:t xml:space="preserve">Movilidad y tránsito</w:t>
            </w:r>
          </w:p>
        </w:tc>
      </w:tr>
      <w:tr>
        <w:trPr>
          <w:cantSplit w:val="0"/>
          <w:tblHeader w:val="0"/>
        </w:trPr>
        <w:tc>
          <w:tcPr/>
          <w:p w:rsidR="00000000" w:rsidDel="00000000" w:rsidP="00000000" w:rsidRDefault="00000000" w:rsidRPr="00000000" w14:paraId="000000C2">
            <w:pPr>
              <w:jc w:val="both"/>
              <w:rPr/>
            </w:pPr>
            <w:r w:rsidDel="00000000" w:rsidR="00000000" w:rsidRPr="00000000">
              <w:rPr>
                <w:rtl w:val="0"/>
              </w:rPr>
              <w:t xml:space="preserve">Ley 103-13</w:t>
            </w:r>
          </w:p>
        </w:tc>
        <w:tc>
          <w:tcPr/>
          <w:p w:rsidR="00000000" w:rsidDel="00000000" w:rsidP="00000000" w:rsidRDefault="00000000" w:rsidRPr="00000000" w14:paraId="000000C3">
            <w:pPr>
              <w:jc w:val="both"/>
              <w:rPr/>
            </w:pPr>
            <w:r w:rsidDel="00000000" w:rsidR="00000000" w:rsidRPr="00000000">
              <w:rPr>
                <w:rtl w:val="0"/>
              </w:rPr>
              <w:t xml:space="preserve">Vehículos eléctricos</w:t>
            </w:r>
          </w:p>
        </w:tc>
      </w:tr>
      <w:tr>
        <w:trPr>
          <w:cantSplit w:val="0"/>
          <w:tblHeader w:val="0"/>
        </w:trPr>
        <w:tc>
          <w:tcPr/>
          <w:p w:rsidR="00000000" w:rsidDel="00000000" w:rsidP="00000000" w:rsidRDefault="00000000" w:rsidRPr="00000000" w14:paraId="000000C4">
            <w:pPr>
              <w:jc w:val="both"/>
              <w:rPr/>
            </w:pPr>
            <w:r w:rsidDel="00000000" w:rsidR="00000000" w:rsidRPr="00000000">
              <w:rPr>
                <w:rtl w:val="0"/>
              </w:rPr>
              <w:t xml:space="preserve">Ley 172-13</w:t>
            </w:r>
          </w:p>
        </w:tc>
        <w:tc>
          <w:tcPr/>
          <w:p w:rsidR="00000000" w:rsidDel="00000000" w:rsidP="00000000" w:rsidRDefault="00000000" w:rsidRPr="00000000" w14:paraId="000000C5">
            <w:pPr>
              <w:jc w:val="both"/>
              <w:rPr/>
            </w:pPr>
            <w:r w:rsidDel="00000000" w:rsidR="00000000" w:rsidRPr="00000000">
              <w:rPr>
                <w:rtl w:val="0"/>
              </w:rPr>
              <w:t xml:space="preserve">Protección de datos personales</w:t>
            </w:r>
          </w:p>
        </w:tc>
      </w:tr>
      <w:tr>
        <w:trPr>
          <w:cantSplit w:val="0"/>
          <w:tblHeader w:val="0"/>
        </w:trPr>
        <w:tc>
          <w:tcPr/>
          <w:p w:rsidR="00000000" w:rsidDel="00000000" w:rsidP="00000000" w:rsidRDefault="00000000" w:rsidRPr="00000000" w14:paraId="000000C6">
            <w:pPr>
              <w:jc w:val="both"/>
              <w:rPr/>
            </w:pPr>
            <w:r w:rsidDel="00000000" w:rsidR="00000000" w:rsidRPr="00000000">
              <w:rPr>
                <w:rtl w:val="0"/>
              </w:rPr>
              <w:t xml:space="preserve">Ley 189-11</w:t>
            </w:r>
          </w:p>
        </w:tc>
        <w:tc>
          <w:tcPr/>
          <w:p w:rsidR="00000000" w:rsidDel="00000000" w:rsidP="00000000" w:rsidRDefault="00000000" w:rsidRPr="00000000" w14:paraId="000000C7">
            <w:pPr>
              <w:jc w:val="both"/>
              <w:rPr/>
            </w:pPr>
            <w:r w:rsidDel="00000000" w:rsidR="00000000" w:rsidRPr="00000000">
              <w:rPr>
                <w:rtl w:val="0"/>
              </w:rPr>
              <w:t xml:space="preserve">Mercado hipotecario y fideicomiso</w:t>
            </w:r>
          </w:p>
        </w:tc>
      </w:tr>
      <w:tr>
        <w:trPr>
          <w:cantSplit w:val="0"/>
          <w:tblHeader w:val="0"/>
        </w:trPr>
        <w:tc>
          <w:tcPr/>
          <w:p w:rsidR="00000000" w:rsidDel="00000000" w:rsidP="00000000" w:rsidRDefault="00000000" w:rsidRPr="00000000" w14:paraId="000000C8">
            <w:pPr>
              <w:jc w:val="both"/>
              <w:rPr/>
            </w:pPr>
            <w:r w:rsidDel="00000000" w:rsidR="00000000" w:rsidRPr="00000000">
              <w:rPr>
                <w:rtl w:val="0"/>
              </w:rPr>
              <w:t xml:space="preserve">Ley 225-20</w:t>
            </w:r>
          </w:p>
        </w:tc>
        <w:tc>
          <w:tcPr/>
          <w:p w:rsidR="00000000" w:rsidDel="00000000" w:rsidP="00000000" w:rsidRDefault="00000000" w:rsidRPr="00000000" w14:paraId="000000C9">
            <w:pPr>
              <w:jc w:val="both"/>
              <w:rPr/>
            </w:pPr>
            <w:r w:rsidDel="00000000" w:rsidR="00000000" w:rsidRPr="00000000">
              <w:rPr>
                <w:rtl w:val="0"/>
              </w:rPr>
              <w:t xml:space="preserve">Residuos sólidos</w:t>
            </w:r>
          </w:p>
        </w:tc>
      </w:tr>
      <w:tr>
        <w:trPr>
          <w:cantSplit w:val="0"/>
          <w:tblHeader w:val="0"/>
        </w:trPr>
        <w:tc>
          <w:tcPr/>
          <w:p w:rsidR="00000000" w:rsidDel="00000000" w:rsidP="00000000" w:rsidRDefault="00000000" w:rsidRPr="00000000" w14:paraId="000000CA">
            <w:pPr>
              <w:jc w:val="both"/>
              <w:rPr/>
            </w:pPr>
            <w:r w:rsidDel="00000000" w:rsidR="00000000" w:rsidRPr="00000000">
              <w:rPr>
                <w:rtl w:val="0"/>
              </w:rPr>
              <w:t xml:space="preserve">Ley 249-17</w:t>
            </w:r>
          </w:p>
        </w:tc>
        <w:tc>
          <w:tcPr/>
          <w:p w:rsidR="00000000" w:rsidDel="00000000" w:rsidP="00000000" w:rsidRDefault="00000000" w:rsidRPr="00000000" w14:paraId="000000CB">
            <w:pPr>
              <w:jc w:val="both"/>
              <w:rPr/>
            </w:pPr>
            <w:r w:rsidDel="00000000" w:rsidR="00000000" w:rsidRPr="00000000">
              <w:rPr>
                <w:rtl w:val="0"/>
              </w:rPr>
              <w:t xml:space="preserve">Mercado de valores</w:t>
            </w:r>
          </w:p>
        </w:tc>
      </w:tr>
      <w:tr>
        <w:trPr>
          <w:cantSplit w:val="0"/>
          <w:tblHeader w:val="0"/>
        </w:trPr>
        <w:tc>
          <w:tcPr/>
          <w:p w:rsidR="00000000" w:rsidDel="00000000" w:rsidP="00000000" w:rsidRDefault="00000000" w:rsidRPr="00000000" w14:paraId="000000CC">
            <w:pPr>
              <w:jc w:val="both"/>
              <w:rPr/>
            </w:pPr>
            <w:r w:rsidDel="00000000" w:rsidR="00000000" w:rsidRPr="00000000">
              <w:rPr>
                <w:rtl w:val="0"/>
              </w:rPr>
              <w:t xml:space="preserve">Ley 368-22</w:t>
            </w:r>
          </w:p>
        </w:tc>
        <w:tc>
          <w:tcPr/>
          <w:p w:rsidR="00000000" w:rsidDel="00000000" w:rsidP="00000000" w:rsidRDefault="00000000" w:rsidRPr="00000000" w14:paraId="000000CD">
            <w:pPr>
              <w:jc w:val="both"/>
              <w:rPr/>
            </w:pPr>
            <w:r w:rsidDel="00000000" w:rsidR="00000000" w:rsidRPr="00000000">
              <w:rPr>
                <w:rtl w:val="0"/>
              </w:rPr>
              <w:t xml:space="preserve">Ordenamiento territorial</w:t>
            </w:r>
          </w:p>
        </w:tc>
      </w:tr>
      <w:tr>
        <w:trPr>
          <w:cantSplit w:val="0"/>
          <w:tblHeader w:val="0"/>
        </w:trPr>
        <w:tc>
          <w:tcPr/>
          <w:p w:rsidR="00000000" w:rsidDel="00000000" w:rsidP="00000000" w:rsidRDefault="00000000" w:rsidRPr="00000000" w14:paraId="000000CE">
            <w:pPr>
              <w:jc w:val="both"/>
              <w:rPr/>
            </w:pPr>
            <w:r w:rsidDel="00000000" w:rsidR="00000000" w:rsidRPr="00000000">
              <w:rPr>
                <w:rtl w:val="0"/>
              </w:rPr>
              <w:t xml:space="preserve">Ley 169-16</w:t>
            </w:r>
          </w:p>
        </w:tc>
        <w:tc>
          <w:tcPr/>
          <w:p w:rsidR="00000000" w:rsidDel="00000000" w:rsidP="00000000" w:rsidRDefault="00000000" w:rsidRPr="00000000" w14:paraId="000000CF">
            <w:pPr>
              <w:jc w:val="both"/>
              <w:rPr/>
            </w:pPr>
            <w:r w:rsidDel="00000000" w:rsidR="00000000" w:rsidRPr="00000000">
              <w:rPr>
                <w:rtl w:val="0"/>
              </w:rPr>
              <w:t xml:space="preserve">Régimen migratorio</w:t>
            </w:r>
          </w:p>
        </w:tc>
      </w:tr>
    </w:tbl>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Análisis institucional — Los tres poderes del Estado</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Ejecutivo: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Modernización mediante digitalización, presupuesto vinculado a resultados reales, evaluaciones de desempeño y mecanismos de control interno. El reto no es crear leyes nuevas, sino ejecutar las existentes con disciplina y continuidad entre gobiernos.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Judicial: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propone para 2036 un poder con mayor legitimidad democrática, menor control político en la selección de jueces y rendición de cuentas pública efectiva, reduciendo la vinculación real del sistema con intereses partidarios.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Legislativo: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aspirantes a cargos públicos deben evidenciar conocimiento real de las leyes antes de poder legislar y representar a sus provincias. No se puede seguir permitiendo que se creen leyes sin demostrar competencia jurídica.</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Derecho comparado — Referentes internacionales</w:t>
      </w:r>
      <w:r w:rsidDel="00000000" w:rsidR="00000000" w:rsidRPr="00000000">
        <w:rPr>
          <w:rtl w:val="0"/>
        </w:rPr>
      </w:r>
    </w:p>
    <w:tbl>
      <w:tblPr>
        <w:tblStyle w:val="Table4"/>
        <w:tblW w:w="8528.0" w:type="dxa"/>
        <w:jc w:val="left"/>
        <w:tblBorders>
          <w:top w:color="45b0e1" w:space="0" w:sz="4" w:val="single"/>
          <w:left w:color="45b0e1" w:space="0" w:sz="4" w:val="single"/>
          <w:bottom w:color="45b0e1" w:space="0" w:sz="4" w:val="single"/>
          <w:right w:color="45b0e1" w:space="0" w:sz="4" w:val="single"/>
          <w:insideH w:color="45b0e1" w:space="0" w:sz="4" w:val="single"/>
          <w:insideV w:color="45b0e1" w:space="0" w:sz="4" w:val="single"/>
        </w:tblBorders>
        <w:tblLayout w:type="fixed"/>
        <w:tblLook w:val="04A0"/>
      </w:tblPr>
      <w:tblGrid>
        <w:gridCol w:w="2796"/>
        <w:gridCol w:w="5732"/>
        <w:tblGridChange w:id="0">
          <w:tblGrid>
            <w:gridCol w:w="2796"/>
            <w:gridCol w:w="5732"/>
          </w:tblGrid>
        </w:tblGridChange>
      </w:tblGrid>
      <w:tr>
        <w:trPr>
          <w:cantSplit w:val="0"/>
          <w:tblHeader w:val="0"/>
        </w:trPr>
        <w:tc>
          <w:tcPr/>
          <w:p w:rsidR="00000000" w:rsidDel="00000000" w:rsidP="00000000" w:rsidRDefault="00000000" w:rsidRPr="00000000" w14:paraId="000000D6">
            <w:pPr>
              <w:jc w:val="both"/>
              <w:rPr/>
            </w:pPr>
            <w:r w:rsidDel="00000000" w:rsidR="00000000" w:rsidRPr="00000000">
              <w:rPr>
                <w:b w:val="0"/>
                <w:bCs w:val="0"/>
                <w:rtl w:val="0"/>
              </w:rPr>
              <w:t xml:space="preserve">Referente</w:t>
            </w:r>
            <w:r w:rsidDel="00000000" w:rsidR="00000000" w:rsidRPr="00000000">
              <w:rPr>
                <w:rtl w:val="0"/>
              </w:rPr>
            </w:r>
          </w:p>
        </w:tc>
        <w:tc>
          <w:tcPr/>
          <w:p w:rsidR="00000000" w:rsidDel="00000000" w:rsidP="00000000" w:rsidRDefault="00000000" w:rsidRPr="00000000" w14:paraId="000000D7">
            <w:pPr>
              <w:jc w:val="both"/>
              <w:rPr>
                <w:b w:val="0"/>
                <w:bCs w:val="0"/>
              </w:rPr>
            </w:pPr>
            <w:r w:rsidDel="00000000" w:rsidR="00000000" w:rsidRPr="00000000">
              <w:rPr>
                <w:b w:val="0"/>
                <w:bCs w:val="0"/>
                <w:rtl w:val="0"/>
              </w:rPr>
              <w:t xml:space="preserve">Lección aplicable al contexto dominicano</w:t>
            </w:r>
          </w:p>
        </w:tc>
      </w:tr>
      <w:tr>
        <w:trPr>
          <w:cantSplit w:val="0"/>
          <w:tblHeader w:val="0"/>
        </w:trPr>
        <w:tc>
          <w:tcPr/>
          <w:p w:rsidR="00000000" w:rsidDel="00000000" w:rsidP="00000000" w:rsidRDefault="00000000" w:rsidRPr="00000000" w14:paraId="000000D8">
            <w:pPr>
              <w:jc w:val="both"/>
              <w:rPr>
                <w:b w:val="0"/>
                <w:bCs w:val="0"/>
              </w:rPr>
            </w:pPr>
            <w:r w:rsidDel="00000000" w:rsidR="00000000" w:rsidRPr="00000000">
              <w:rPr>
                <w:rtl w:val="0"/>
              </w:rPr>
              <w:t xml:space="preserve">Estonia</w:t>
            </w:r>
            <w:r w:rsidDel="00000000" w:rsidR="00000000" w:rsidRPr="00000000">
              <w:rPr>
                <w:rtl w:val="0"/>
              </w:rPr>
            </w:r>
          </w:p>
        </w:tc>
        <w:tc>
          <w:tcPr/>
          <w:p w:rsidR="00000000" w:rsidDel="00000000" w:rsidP="00000000" w:rsidRDefault="00000000" w:rsidRPr="00000000" w14:paraId="000000D9">
            <w:pPr>
              <w:jc w:val="both"/>
              <w:rPr/>
            </w:pPr>
            <w:r w:rsidDel="00000000" w:rsidR="00000000" w:rsidRPr="00000000">
              <w:rPr>
                <w:rtl w:val="0"/>
              </w:rPr>
              <w:t xml:space="preserve">Identidad digital única, gobierno 100% en línea</w:t>
            </w:r>
          </w:p>
        </w:tc>
      </w:tr>
      <w:tr>
        <w:trPr>
          <w:cantSplit w:val="0"/>
          <w:tblHeader w:val="0"/>
        </w:trPr>
        <w:tc>
          <w:tcPr/>
          <w:p w:rsidR="00000000" w:rsidDel="00000000" w:rsidP="00000000" w:rsidRDefault="00000000" w:rsidRPr="00000000" w14:paraId="000000DA">
            <w:pPr>
              <w:jc w:val="both"/>
              <w:rPr/>
            </w:pPr>
            <w:r w:rsidDel="00000000" w:rsidR="00000000" w:rsidRPr="00000000">
              <w:rPr>
                <w:rtl w:val="0"/>
              </w:rPr>
              <w:t xml:space="preserve">Medellín, Colombia</w:t>
            </w:r>
          </w:p>
        </w:tc>
        <w:tc>
          <w:tcPr/>
          <w:p w:rsidR="00000000" w:rsidDel="00000000" w:rsidP="00000000" w:rsidRDefault="00000000" w:rsidRPr="00000000" w14:paraId="000000DB">
            <w:pPr>
              <w:jc w:val="both"/>
              <w:rPr/>
            </w:pPr>
            <w:r w:rsidDel="00000000" w:rsidR="00000000" w:rsidRPr="00000000">
              <w:rPr>
                <w:rtl w:val="0"/>
              </w:rPr>
              <w:t xml:space="preserve">Distrito de innovación con impacto social (Ruta N)</w:t>
            </w:r>
          </w:p>
        </w:tc>
      </w:tr>
      <w:tr>
        <w:trPr>
          <w:cantSplit w:val="0"/>
          <w:tblHeader w:val="0"/>
        </w:trPr>
        <w:tc>
          <w:tcPr/>
          <w:p w:rsidR="00000000" w:rsidDel="00000000" w:rsidP="00000000" w:rsidRDefault="00000000" w:rsidRPr="00000000" w14:paraId="000000DC">
            <w:pPr>
              <w:jc w:val="both"/>
              <w:rPr/>
            </w:pPr>
            <w:r w:rsidDel="00000000" w:rsidR="00000000" w:rsidRPr="00000000">
              <w:rPr>
                <w:rtl w:val="0"/>
              </w:rPr>
              <w:t xml:space="preserve">Curitiba, Brasil</w:t>
            </w:r>
          </w:p>
        </w:tc>
        <w:tc>
          <w:tcPr/>
          <w:p w:rsidR="00000000" w:rsidDel="00000000" w:rsidP="00000000" w:rsidRDefault="00000000" w:rsidRPr="00000000" w14:paraId="000000DD">
            <w:pPr>
              <w:jc w:val="both"/>
              <w:rPr/>
            </w:pPr>
            <w:r w:rsidDel="00000000" w:rsidR="00000000" w:rsidRPr="00000000">
              <w:rPr>
                <w:rtl w:val="0"/>
              </w:rPr>
              <w:t xml:space="preserve">Sistema BRT integrado y planificación urbana sostenible</w:t>
            </w:r>
          </w:p>
        </w:tc>
      </w:tr>
      <w:tr>
        <w:trPr>
          <w:cantSplit w:val="0"/>
          <w:tblHeader w:val="0"/>
        </w:trPr>
        <w:tc>
          <w:tcPr/>
          <w:p w:rsidR="00000000" w:rsidDel="00000000" w:rsidP="00000000" w:rsidRDefault="00000000" w:rsidRPr="00000000" w14:paraId="000000DE">
            <w:pPr>
              <w:jc w:val="both"/>
              <w:rPr/>
            </w:pPr>
            <w:r w:rsidDel="00000000" w:rsidR="00000000" w:rsidRPr="00000000">
              <w:rPr>
                <w:rtl w:val="0"/>
              </w:rPr>
              <w:t xml:space="preserve">Rotterdam, Países Bajos</w:t>
            </w:r>
          </w:p>
        </w:tc>
        <w:tc>
          <w:tcPr/>
          <w:p w:rsidR="00000000" w:rsidDel="00000000" w:rsidP="00000000" w:rsidRDefault="00000000" w:rsidRPr="00000000" w14:paraId="000000DF">
            <w:pPr>
              <w:jc w:val="both"/>
              <w:rPr/>
            </w:pPr>
            <w:r w:rsidDel="00000000" w:rsidR="00000000" w:rsidRPr="00000000">
              <w:rPr>
                <w:rtl w:val="0"/>
              </w:rPr>
              <w:t xml:space="preserve">Resiliencia climática urbana frente a inundaciones</w:t>
            </w:r>
          </w:p>
        </w:tc>
      </w:tr>
      <w:tr>
        <w:trPr>
          <w:cantSplit w:val="0"/>
          <w:tblHeader w:val="0"/>
        </w:trPr>
        <w:tc>
          <w:tcPr/>
          <w:p w:rsidR="00000000" w:rsidDel="00000000" w:rsidP="00000000" w:rsidRDefault="00000000" w:rsidRPr="00000000" w14:paraId="000000E0">
            <w:pPr>
              <w:jc w:val="both"/>
              <w:rPr/>
            </w:pPr>
            <w:r w:rsidDel="00000000" w:rsidR="00000000" w:rsidRPr="00000000">
              <w:rPr>
                <w:rtl w:val="0"/>
              </w:rPr>
              <w:t xml:space="preserve">Singapur</w:t>
            </w:r>
          </w:p>
        </w:tc>
        <w:tc>
          <w:tcPr/>
          <w:p w:rsidR="00000000" w:rsidDel="00000000" w:rsidP="00000000" w:rsidRDefault="00000000" w:rsidRPr="00000000" w14:paraId="000000E1">
            <w:pPr>
              <w:jc w:val="both"/>
              <w:rPr/>
            </w:pPr>
            <w:r w:rsidDel="00000000" w:rsidR="00000000" w:rsidRPr="00000000">
              <w:rPr>
                <w:rtl w:val="0"/>
              </w:rPr>
              <w:t xml:space="preserve">Smart Nation y gemelo digital de ciudad</w:t>
            </w:r>
          </w:p>
        </w:tc>
      </w:tr>
    </w:tbl>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Propuestas de adecuación normativa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Aunque no se requieren reformas de fondo, la propuesta identifica tres áreas donde se recomienda modernización normativa progresiva: regulación de datos urbanos y algoritmos públicos, marco específico para ciudades inteligentes y mecanismos de gobernanza participativa digital con vinculación legal.</w:t>
      </w:r>
    </w:p>
    <w:p w:rsidR="00000000" w:rsidDel="00000000" w:rsidP="00000000" w:rsidRDefault="00000000" w:rsidRPr="00000000" w14:paraId="000000E3">
      <w:pPr>
        <w:pStyle w:val="Heading2"/>
        <w:jc w:val="both"/>
        <w:rPr/>
      </w:pPr>
      <w:bookmarkStart w:colFirst="0" w:colLast="0" w:name="_heading=h.tdakct1kq9jm" w:id="10"/>
      <w:bookmarkEnd w:id="10"/>
      <w:r w:rsidDel="00000000" w:rsidR="00000000" w:rsidRPr="00000000">
        <w:rPr>
          <w:rtl w:val="0"/>
        </w:rPr>
        <w:t xml:space="preserve">Pilar 5: Pitch, Comunicación y Ventas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Ventaja competitiva y escalabilidad del modelo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Santo Domingo 2036 no compite con utopías, compite con la inacción. Es la única propuesta que combina continuidad de proyectos ya iniciados, financiamiento recuperable dentro del propio horizonte, marco legal vigente y tecnología probada en contexto dominicano. Si funciona en Santo Domingo, el modelo es replicable en Santiago, La Romana y cualquier polo urbano del país.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Propuesta de valor diferenciada</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Visión integrada: los tres ejes se sostienen entre sí, ninguno funciona en aislamiento</w:t>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Siete fuentes de ingresos propios que garantizan no depender permanentemente del presupuesto estatal</w:t>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Evidencia local real: Actuana Academy como prueba de concepto con más de 1,200 estudiantes</w:t>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Blindaje ético y legal desde el diseño, no como añadido posterior</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Modelo de negocio escalable</w:t>
      </w:r>
      <w:r w:rsidDel="00000000" w:rsidR="00000000" w:rsidRPr="00000000">
        <w:rPr>
          <w:rtl w:val="0"/>
        </w:rPr>
      </w:r>
    </w:p>
    <w:tbl>
      <w:tblPr>
        <w:tblStyle w:val="Table5"/>
        <w:tblW w:w="8994.0" w:type="dxa"/>
        <w:jc w:val="left"/>
        <w:tblBorders>
          <w:top w:color="45b0e1" w:space="0" w:sz="4" w:val="single"/>
          <w:left w:color="45b0e1" w:space="0" w:sz="4" w:val="single"/>
          <w:bottom w:color="45b0e1" w:space="0" w:sz="4" w:val="single"/>
          <w:right w:color="45b0e1" w:space="0" w:sz="4" w:val="single"/>
          <w:insideH w:color="45b0e1" w:space="0" w:sz="4" w:val="single"/>
          <w:insideV w:color="45b0e1" w:space="0" w:sz="4" w:val="single"/>
        </w:tblBorders>
        <w:tblLayout w:type="fixed"/>
        <w:tblLook w:val="04A0"/>
      </w:tblPr>
      <w:tblGrid>
        <w:gridCol w:w="2748"/>
        <w:gridCol w:w="6246"/>
        <w:tblGridChange w:id="0">
          <w:tblGrid>
            <w:gridCol w:w="2748"/>
            <w:gridCol w:w="6246"/>
          </w:tblGrid>
        </w:tblGridChange>
      </w:tblGrid>
      <w:tr>
        <w:trPr>
          <w:cantSplit w:val="0"/>
          <w:tblHeader w:val="0"/>
        </w:trPr>
        <w:tc>
          <w:tcPr/>
          <w:p w:rsidR="00000000" w:rsidDel="00000000" w:rsidP="00000000" w:rsidRDefault="00000000" w:rsidRPr="00000000" w14:paraId="000000EB">
            <w:pPr>
              <w:jc w:val="both"/>
              <w:rPr/>
            </w:pPr>
            <w:r w:rsidDel="00000000" w:rsidR="00000000" w:rsidRPr="00000000">
              <w:rPr>
                <w:b w:val="0"/>
                <w:bCs w:val="0"/>
                <w:rtl w:val="0"/>
              </w:rPr>
              <w:t xml:space="preserve">Fuente de ingreso</w:t>
            </w:r>
            <w:r w:rsidDel="00000000" w:rsidR="00000000" w:rsidRPr="00000000">
              <w:rPr>
                <w:rtl w:val="0"/>
              </w:rPr>
            </w:r>
          </w:p>
        </w:tc>
        <w:tc>
          <w:tcPr/>
          <w:p w:rsidR="00000000" w:rsidDel="00000000" w:rsidP="00000000" w:rsidRDefault="00000000" w:rsidRPr="00000000" w14:paraId="000000EC">
            <w:pPr>
              <w:jc w:val="both"/>
              <w:rPr>
                <w:b w:val="0"/>
                <w:bCs w:val="0"/>
              </w:rPr>
            </w:pPr>
            <w:r w:rsidDel="00000000" w:rsidR="00000000" w:rsidRPr="00000000">
              <w:rPr>
                <w:b w:val="0"/>
                <w:bCs w:val="0"/>
                <w:rtl w:val="0"/>
              </w:rPr>
              <w:t xml:space="preserve">Mecanismo de generación</w:t>
            </w:r>
          </w:p>
        </w:tc>
      </w:tr>
      <w:tr>
        <w:trPr>
          <w:cantSplit w:val="0"/>
          <w:tblHeader w:val="0"/>
        </w:trPr>
        <w:tc>
          <w:tcPr/>
          <w:p w:rsidR="00000000" w:rsidDel="00000000" w:rsidP="00000000" w:rsidRDefault="00000000" w:rsidRPr="00000000" w14:paraId="000000ED">
            <w:pPr>
              <w:jc w:val="both"/>
              <w:rPr>
                <w:b w:val="0"/>
                <w:bCs w:val="0"/>
              </w:rPr>
            </w:pPr>
            <w:r w:rsidDel="00000000" w:rsidR="00000000" w:rsidRPr="00000000">
              <w:rPr>
                <w:rtl w:val="0"/>
              </w:rPr>
              <w:t xml:space="preserve">Plusvalía urbana</w:t>
            </w:r>
            <w:r w:rsidDel="00000000" w:rsidR="00000000" w:rsidRPr="00000000">
              <w:rPr>
                <w:rtl w:val="0"/>
              </w:rPr>
            </w:r>
          </w:p>
        </w:tc>
        <w:tc>
          <w:tcPr/>
          <w:p w:rsidR="00000000" w:rsidDel="00000000" w:rsidP="00000000" w:rsidRDefault="00000000" w:rsidRPr="00000000" w14:paraId="000000EE">
            <w:pPr>
              <w:jc w:val="both"/>
              <w:rPr/>
            </w:pPr>
            <w:r w:rsidDel="00000000" w:rsidR="00000000" w:rsidRPr="00000000">
              <w:rPr>
                <w:rtl w:val="0"/>
              </w:rPr>
              <w:t xml:space="preserve">Valorización de propiedades cerca de nuevas líneas de Metro</w:t>
            </w:r>
          </w:p>
        </w:tc>
      </w:tr>
      <w:tr>
        <w:trPr>
          <w:cantSplit w:val="0"/>
          <w:tblHeader w:val="0"/>
        </w:trPr>
        <w:tc>
          <w:tcPr/>
          <w:p w:rsidR="00000000" w:rsidDel="00000000" w:rsidP="00000000" w:rsidRDefault="00000000" w:rsidRPr="00000000" w14:paraId="000000EF">
            <w:pPr>
              <w:jc w:val="both"/>
              <w:rPr/>
            </w:pPr>
            <w:r w:rsidDel="00000000" w:rsidR="00000000" w:rsidRPr="00000000">
              <w:rPr>
                <w:rtl w:val="0"/>
              </w:rPr>
              <w:t xml:space="preserve">Tarifa integrada</w:t>
            </w:r>
          </w:p>
        </w:tc>
        <w:tc>
          <w:tcPr/>
          <w:p w:rsidR="00000000" w:rsidDel="00000000" w:rsidP="00000000" w:rsidRDefault="00000000" w:rsidRPr="00000000" w14:paraId="000000F0">
            <w:pPr>
              <w:jc w:val="both"/>
              <w:rPr/>
            </w:pPr>
            <w:r w:rsidDel="00000000" w:rsidR="00000000" w:rsidRPr="00000000">
              <w:rPr>
                <w:rtl w:val="0"/>
              </w:rPr>
              <w:t xml:space="preserve">Cientos de miles de viajes diarios en sistema unificado</w:t>
            </w:r>
          </w:p>
        </w:tc>
      </w:tr>
      <w:tr>
        <w:trPr>
          <w:cantSplit w:val="0"/>
          <w:tblHeader w:val="0"/>
        </w:trPr>
        <w:tc>
          <w:tcPr/>
          <w:p w:rsidR="00000000" w:rsidDel="00000000" w:rsidP="00000000" w:rsidRDefault="00000000" w:rsidRPr="00000000" w14:paraId="000000F1">
            <w:pPr>
              <w:jc w:val="both"/>
              <w:rPr/>
            </w:pPr>
            <w:r w:rsidDel="00000000" w:rsidR="00000000" w:rsidRPr="00000000">
              <w:rPr>
                <w:rtl w:val="0"/>
              </w:rPr>
              <w:t xml:space="preserve">Datos urbanos premium</w:t>
            </w:r>
          </w:p>
        </w:tc>
        <w:tc>
          <w:tcPr/>
          <w:p w:rsidR="00000000" w:rsidDel="00000000" w:rsidP="00000000" w:rsidRDefault="00000000" w:rsidRPr="00000000" w14:paraId="000000F2">
            <w:pPr>
              <w:jc w:val="both"/>
              <w:rPr/>
            </w:pPr>
            <w:r w:rsidDel="00000000" w:rsidR="00000000" w:rsidRPr="00000000">
              <w:rPr>
                <w:rtl w:val="0"/>
              </w:rPr>
              <w:t xml:space="preserve">Venta de analítica a empresas privadas</w:t>
            </w:r>
          </w:p>
        </w:tc>
      </w:tr>
      <w:tr>
        <w:trPr>
          <w:cantSplit w:val="0"/>
          <w:tblHeader w:val="0"/>
        </w:trPr>
        <w:tc>
          <w:tcPr/>
          <w:p w:rsidR="00000000" w:rsidDel="00000000" w:rsidP="00000000" w:rsidRDefault="00000000" w:rsidRPr="00000000" w14:paraId="000000F3">
            <w:pPr>
              <w:jc w:val="both"/>
              <w:rPr/>
            </w:pPr>
            <w:r w:rsidDel="00000000" w:rsidR="00000000" w:rsidRPr="00000000">
              <w:rPr>
                <w:rtl w:val="0"/>
              </w:rPr>
              <w:t xml:space="preserve">Energía solar excedente</w:t>
            </w:r>
          </w:p>
        </w:tc>
        <w:tc>
          <w:tcPr/>
          <w:p w:rsidR="00000000" w:rsidDel="00000000" w:rsidP="00000000" w:rsidRDefault="00000000" w:rsidRPr="00000000" w14:paraId="000000F4">
            <w:pPr>
              <w:jc w:val="both"/>
              <w:rPr/>
            </w:pPr>
            <w:r w:rsidDel="00000000" w:rsidR="00000000" w:rsidRPr="00000000">
              <w:rPr>
                <w:rtl w:val="0"/>
              </w:rPr>
              <w:t xml:space="preserve">Venta a la red desde edificios y estaciones</w:t>
            </w:r>
          </w:p>
        </w:tc>
      </w:tr>
      <w:tr>
        <w:trPr>
          <w:cantSplit w:val="0"/>
          <w:tblHeader w:val="0"/>
        </w:trPr>
        <w:tc>
          <w:tcPr/>
          <w:p w:rsidR="00000000" w:rsidDel="00000000" w:rsidP="00000000" w:rsidRDefault="00000000" w:rsidRPr="00000000" w14:paraId="000000F5">
            <w:pPr>
              <w:jc w:val="both"/>
              <w:rPr/>
            </w:pPr>
            <w:r w:rsidDel="00000000" w:rsidR="00000000" w:rsidRPr="00000000">
              <w:rPr>
                <w:rtl w:val="0"/>
              </w:rPr>
              <w:t xml:space="preserve">Turismo premium</w:t>
            </w:r>
          </w:p>
        </w:tc>
        <w:tc>
          <w:tcPr/>
          <w:p w:rsidR="00000000" w:rsidDel="00000000" w:rsidP="00000000" w:rsidRDefault="00000000" w:rsidRPr="00000000" w14:paraId="000000F6">
            <w:pPr>
              <w:jc w:val="both"/>
              <w:rPr/>
            </w:pPr>
            <w:r w:rsidDel="00000000" w:rsidR="00000000" w:rsidRPr="00000000">
              <w:rPr>
                <w:rtl w:val="0"/>
              </w:rPr>
              <w:t xml:space="preserve">Distrito Histórico-Tecnológico como destino internacional</w:t>
            </w:r>
          </w:p>
        </w:tc>
      </w:tr>
      <w:tr>
        <w:trPr>
          <w:cantSplit w:val="0"/>
          <w:tblHeader w:val="0"/>
        </w:trPr>
        <w:tc>
          <w:tcPr/>
          <w:p w:rsidR="00000000" w:rsidDel="00000000" w:rsidP="00000000" w:rsidRDefault="00000000" w:rsidRPr="00000000" w14:paraId="000000F7">
            <w:pPr>
              <w:jc w:val="both"/>
              <w:rPr/>
            </w:pPr>
            <w:r w:rsidDel="00000000" w:rsidR="00000000" w:rsidRPr="00000000">
              <w:rPr>
                <w:rtl w:val="0"/>
              </w:rPr>
              <w:t xml:space="preserve">Hub de Innovación</w:t>
            </w:r>
          </w:p>
        </w:tc>
        <w:tc>
          <w:tcPr/>
          <w:p w:rsidR="00000000" w:rsidDel="00000000" w:rsidP="00000000" w:rsidRDefault="00000000" w:rsidRPr="00000000" w14:paraId="000000F8">
            <w:pPr>
              <w:jc w:val="both"/>
              <w:rPr/>
            </w:pPr>
            <w:r w:rsidDel="00000000" w:rsidR="00000000" w:rsidRPr="00000000">
              <w:rPr>
                <w:rtl w:val="0"/>
              </w:rPr>
              <w:t xml:space="preserve">Renta de espacios para startups y aceleradoras</w:t>
            </w:r>
          </w:p>
        </w:tc>
      </w:tr>
      <w:tr>
        <w:trPr>
          <w:cantSplit w:val="0"/>
          <w:tblHeader w:val="0"/>
        </w:trPr>
        <w:tc>
          <w:tcPr/>
          <w:p w:rsidR="00000000" w:rsidDel="00000000" w:rsidP="00000000" w:rsidRDefault="00000000" w:rsidRPr="00000000" w14:paraId="000000F9">
            <w:pPr>
              <w:jc w:val="both"/>
              <w:rPr/>
            </w:pPr>
            <w:r w:rsidDel="00000000" w:rsidR="00000000" w:rsidRPr="00000000">
              <w:rPr>
                <w:rtl w:val="0"/>
              </w:rPr>
              <w:t xml:space="preserve">Bonos verdes</w:t>
            </w:r>
          </w:p>
        </w:tc>
        <w:tc>
          <w:tcPr/>
          <w:p w:rsidR="00000000" w:rsidDel="00000000" w:rsidP="00000000" w:rsidRDefault="00000000" w:rsidRPr="00000000" w14:paraId="000000FA">
            <w:pPr>
              <w:jc w:val="both"/>
              <w:rPr/>
            </w:pPr>
            <w:r w:rsidDel="00000000" w:rsidR="00000000" w:rsidRPr="00000000">
              <w:rPr>
                <w:rtl w:val="0"/>
              </w:rPr>
              <w:t xml:space="preserve">Emisión bajo Ley 249-17 para inversión institucional</w:t>
            </w:r>
          </w:p>
        </w:tc>
      </w:tr>
    </w:tbl>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Calidad del pitch — Comunicación visual y síntesis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 propuesta comunica una visión compleja de manera directa y convincente. No es un catálogo de buenas intenciones; es un plan con cifras reales, leyes identificadas, cronograma por fases y riesgos mitigados. Cada decisión de diseño responde a una necesidad ciudadana concreta.</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Impacto social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ciudad que mide su éxito no por sus rascacielos, sino por cuántos minutos le tomó a un ciudadano de Villa Mella llegar a su trabajo, llevar a su hijo a una escuela digna y volver a casa antes de que oscurezca.</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Cronograma de implementación 2026–2036</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tbl>
      <w:tblPr>
        <w:tblStyle w:val="Table6"/>
        <w:tblW w:w="9350.0" w:type="dxa"/>
        <w:jc w:val="left"/>
        <w:tblBorders>
          <w:top w:color="45b0e1" w:space="0" w:sz="4" w:val="single"/>
          <w:left w:color="45b0e1" w:space="0" w:sz="4" w:val="single"/>
          <w:bottom w:color="45b0e1" w:space="0" w:sz="4" w:val="single"/>
          <w:right w:color="45b0e1" w:space="0" w:sz="4" w:val="single"/>
          <w:insideH w:color="45b0e1" w:space="0" w:sz="4" w:val="single"/>
          <w:insideV w:color="45b0e1" w:space="0" w:sz="4" w:val="single"/>
        </w:tblBorders>
        <w:tblLayout w:type="fixed"/>
        <w:tblLook w:val="04A0"/>
      </w:tblPr>
      <w:tblGrid>
        <w:gridCol w:w="2001"/>
        <w:gridCol w:w="1266"/>
        <w:gridCol w:w="6083"/>
        <w:tblGridChange w:id="0">
          <w:tblGrid>
            <w:gridCol w:w="2001"/>
            <w:gridCol w:w="1266"/>
            <w:gridCol w:w="6083"/>
          </w:tblGrid>
        </w:tblGridChange>
      </w:tblGrid>
      <w:tr>
        <w:trPr>
          <w:cantSplit w:val="0"/>
          <w:tblHeader w:val="0"/>
        </w:trPr>
        <w:tc>
          <w:tcPr/>
          <w:p w:rsidR="00000000" w:rsidDel="00000000" w:rsidP="00000000" w:rsidRDefault="00000000" w:rsidRPr="00000000" w14:paraId="00000100">
            <w:pPr>
              <w:jc w:val="both"/>
              <w:rPr/>
            </w:pPr>
            <w:r w:rsidDel="00000000" w:rsidR="00000000" w:rsidRPr="00000000">
              <w:rPr>
                <w:b w:val="0"/>
                <w:bCs w:val="0"/>
                <w:rtl w:val="0"/>
              </w:rPr>
              <w:t xml:space="preserve">Fase</w:t>
            </w:r>
            <w:r w:rsidDel="00000000" w:rsidR="00000000" w:rsidRPr="00000000">
              <w:rPr>
                <w:rtl w:val="0"/>
              </w:rPr>
            </w:r>
          </w:p>
        </w:tc>
        <w:tc>
          <w:tcPr/>
          <w:p w:rsidR="00000000" w:rsidDel="00000000" w:rsidP="00000000" w:rsidRDefault="00000000" w:rsidRPr="00000000" w14:paraId="00000101">
            <w:pPr>
              <w:jc w:val="both"/>
              <w:rPr>
                <w:b w:val="0"/>
                <w:bCs w:val="0"/>
              </w:rPr>
            </w:pPr>
            <w:r w:rsidDel="00000000" w:rsidR="00000000" w:rsidRPr="00000000">
              <w:rPr>
                <w:b w:val="0"/>
                <w:bCs w:val="0"/>
                <w:rtl w:val="0"/>
              </w:rPr>
              <w:t xml:space="preserve">Período</w:t>
            </w:r>
          </w:p>
        </w:tc>
        <w:tc>
          <w:tcPr/>
          <w:p w:rsidR="00000000" w:rsidDel="00000000" w:rsidP="00000000" w:rsidRDefault="00000000" w:rsidRPr="00000000" w14:paraId="00000102">
            <w:pPr>
              <w:jc w:val="both"/>
              <w:rPr>
                <w:b w:val="0"/>
                <w:bCs w:val="0"/>
              </w:rPr>
            </w:pPr>
            <w:r w:rsidDel="00000000" w:rsidR="00000000" w:rsidRPr="00000000">
              <w:rPr>
                <w:b w:val="0"/>
                <w:bCs w:val="0"/>
                <w:rtl w:val="0"/>
              </w:rPr>
              <w:t xml:space="preserve">Hitos principales</w:t>
            </w:r>
          </w:p>
        </w:tc>
      </w:tr>
      <w:tr>
        <w:trPr>
          <w:cantSplit w:val="0"/>
          <w:tblHeader w:val="0"/>
        </w:trPr>
        <w:tc>
          <w:tcPr/>
          <w:p w:rsidR="00000000" w:rsidDel="00000000" w:rsidP="00000000" w:rsidRDefault="00000000" w:rsidRPr="00000000" w14:paraId="00000103">
            <w:pPr>
              <w:jc w:val="both"/>
              <w:rPr>
                <w:b w:val="0"/>
                <w:bCs w:val="0"/>
              </w:rPr>
            </w:pPr>
            <w:r w:rsidDel="00000000" w:rsidR="00000000" w:rsidRPr="00000000">
              <w:rPr>
                <w:rtl w:val="0"/>
              </w:rPr>
              <w:t xml:space="preserve">1 · Cimientos</w:t>
            </w:r>
            <w:r w:rsidDel="00000000" w:rsidR="00000000" w:rsidRPr="00000000">
              <w:rPr>
                <w:rtl w:val="0"/>
              </w:rPr>
            </w:r>
          </w:p>
        </w:tc>
        <w:tc>
          <w:tcPr/>
          <w:p w:rsidR="00000000" w:rsidDel="00000000" w:rsidP="00000000" w:rsidRDefault="00000000" w:rsidRPr="00000000" w14:paraId="00000104">
            <w:pPr>
              <w:jc w:val="both"/>
              <w:rPr/>
            </w:pPr>
            <w:r w:rsidDel="00000000" w:rsidR="00000000" w:rsidRPr="00000000">
              <w:rPr>
                <w:rtl w:val="0"/>
              </w:rPr>
              <w:t xml:space="preserve">2026–2028</w:t>
            </w:r>
          </w:p>
        </w:tc>
        <w:tc>
          <w:tcPr/>
          <w:p w:rsidR="00000000" w:rsidDel="00000000" w:rsidP="00000000" w:rsidRDefault="00000000" w:rsidRPr="00000000" w14:paraId="00000105">
            <w:pPr>
              <w:jc w:val="both"/>
              <w:rPr/>
            </w:pPr>
            <w:r w:rsidDel="00000000" w:rsidR="00000000" w:rsidRPr="00000000">
              <w:rPr>
                <w:rtl w:val="0"/>
              </w:rPr>
              <w:t xml:space="preserve">Línea 1B, primeros laboratorios STEAM, COC operativo</w:t>
            </w:r>
          </w:p>
        </w:tc>
      </w:tr>
      <w:tr>
        <w:trPr>
          <w:cantSplit w:val="0"/>
          <w:tblHeader w:val="0"/>
        </w:trPr>
        <w:tc>
          <w:tcPr/>
          <w:p w:rsidR="00000000" w:rsidDel="00000000" w:rsidP="00000000" w:rsidRDefault="00000000" w:rsidRPr="00000000" w14:paraId="00000106">
            <w:pPr>
              <w:jc w:val="both"/>
              <w:rPr/>
            </w:pPr>
            <w:r w:rsidDel="00000000" w:rsidR="00000000" w:rsidRPr="00000000">
              <w:rPr>
                <w:rtl w:val="0"/>
              </w:rPr>
              <w:t xml:space="preserve">2 · Expansión</w:t>
            </w:r>
          </w:p>
        </w:tc>
        <w:tc>
          <w:tcPr/>
          <w:p w:rsidR="00000000" w:rsidDel="00000000" w:rsidP="00000000" w:rsidRDefault="00000000" w:rsidRPr="00000000" w14:paraId="00000107">
            <w:pPr>
              <w:jc w:val="both"/>
              <w:rPr/>
            </w:pPr>
            <w:r w:rsidDel="00000000" w:rsidR="00000000" w:rsidRPr="00000000">
              <w:rPr>
                <w:rtl w:val="0"/>
              </w:rPr>
              <w:t xml:space="preserve">2028–2032</w:t>
            </w:r>
          </w:p>
        </w:tc>
        <w:tc>
          <w:tcPr/>
          <w:p w:rsidR="00000000" w:rsidDel="00000000" w:rsidP="00000000" w:rsidRDefault="00000000" w:rsidRPr="00000000" w14:paraId="00000108">
            <w:pPr>
              <w:jc w:val="both"/>
              <w:rPr/>
            </w:pPr>
            <w:r w:rsidDel="00000000" w:rsidR="00000000" w:rsidRPr="00000000">
              <w:rPr>
                <w:rtl w:val="0"/>
              </w:rPr>
              <w:t xml:space="preserve">Líneas 3 y 4, Hub de Innovación, Barrio Conectado masivo</w:t>
            </w:r>
          </w:p>
        </w:tc>
      </w:tr>
      <w:tr>
        <w:trPr>
          <w:cantSplit w:val="0"/>
          <w:tblHeader w:val="0"/>
        </w:trPr>
        <w:tc>
          <w:tcPr/>
          <w:p w:rsidR="00000000" w:rsidDel="00000000" w:rsidP="00000000" w:rsidRDefault="00000000" w:rsidRPr="00000000" w14:paraId="00000109">
            <w:pPr>
              <w:jc w:val="both"/>
              <w:rPr/>
            </w:pPr>
            <w:r w:rsidDel="00000000" w:rsidR="00000000" w:rsidRPr="00000000">
              <w:rPr>
                <w:rtl w:val="0"/>
              </w:rPr>
              <w:t xml:space="preserve">3 · Consolidación</w:t>
            </w:r>
          </w:p>
        </w:tc>
        <w:tc>
          <w:tcPr/>
          <w:p w:rsidR="00000000" w:rsidDel="00000000" w:rsidP="00000000" w:rsidRDefault="00000000" w:rsidRPr="00000000" w14:paraId="0000010A">
            <w:pPr>
              <w:jc w:val="both"/>
              <w:rPr/>
            </w:pPr>
            <w:r w:rsidDel="00000000" w:rsidR="00000000" w:rsidRPr="00000000">
              <w:rPr>
                <w:rtl w:val="0"/>
              </w:rPr>
              <w:t xml:space="preserve">2032–2036</w:t>
            </w:r>
          </w:p>
        </w:tc>
        <w:tc>
          <w:tcPr/>
          <w:p w:rsidR="00000000" w:rsidDel="00000000" w:rsidP="00000000" w:rsidRDefault="00000000" w:rsidRPr="00000000" w14:paraId="0000010B">
            <w:pPr>
              <w:jc w:val="both"/>
              <w:rPr/>
            </w:pPr>
            <w:r w:rsidDel="00000000" w:rsidR="00000000" w:rsidRPr="00000000">
              <w:rPr>
                <w:rtl w:val="0"/>
              </w:rPr>
              <w:t xml:space="preserve">Sistema completo, autosostenible con flujos de monetización activos</w:t>
            </w:r>
          </w:p>
        </w:tc>
      </w:tr>
    </w:tbl>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Matriz de riesgos y mitigación</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tbl>
      <w:tblPr>
        <w:tblStyle w:val="Table7"/>
        <w:tblW w:w="9350.0" w:type="dxa"/>
        <w:jc w:val="left"/>
        <w:tblBorders>
          <w:top w:color="45b0e1" w:space="0" w:sz="4" w:val="single"/>
          <w:left w:color="45b0e1" w:space="0" w:sz="4" w:val="single"/>
          <w:bottom w:color="45b0e1" w:space="0" w:sz="4" w:val="single"/>
          <w:right w:color="45b0e1" w:space="0" w:sz="4" w:val="single"/>
          <w:insideH w:color="45b0e1" w:space="0" w:sz="4" w:val="single"/>
          <w:insideV w:color="45b0e1" w:space="0" w:sz="4" w:val="single"/>
        </w:tblBorders>
        <w:tblLayout w:type="fixed"/>
        <w:tblLook w:val="04A0"/>
      </w:tblPr>
      <w:tblGrid>
        <w:gridCol w:w="3751"/>
        <w:gridCol w:w="5599"/>
        <w:tblGridChange w:id="0">
          <w:tblGrid>
            <w:gridCol w:w="3751"/>
            <w:gridCol w:w="5599"/>
          </w:tblGrid>
        </w:tblGridChange>
      </w:tblGrid>
      <w:tr>
        <w:trPr>
          <w:cantSplit w:val="0"/>
          <w:tblHeader w:val="0"/>
        </w:trPr>
        <w:tc>
          <w:tcPr/>
          <w:p w:rsidR="00000000" w:rsidDel="00000000" w:rsidP="00000000" w:rsidRDefault="00000000" w:rsidRPr="00000000" w14:paraId="0000010F">
            <w:pPr>
              <w:jc w:val="both"/>
              <w:rPr/>
            </w:pPr>
            <w:r w:rsidDel="00000000" w:rsidR="00000000" w:rsidRPr="00000000">
              <w:rPr>
                <w:b w:val="0"/>
                <w:bCs w:val="0"/>
                <w:rtl w:val="0"/>
              </w:rPr>
              <w:t xml:space="preserve">Riesgo</w:t>
            </w:r>
            <w:r w:rsidDel="00000000" w:rsidR="00000000" w:rsidRPr="00000000">
              <w:rPr>
                <w:rtl w:val="0"/>
              </w:rPr>
            </w:r>
          </w:p>
        </w:tc>
        <w:tc>
          <w:tcPr/>
          <w:p w:rsidR="00000000" w:rsidDel="00000000" w:rsidP="00000000" w:rsidRDefault="00000000" w:rsidRPr="00000000" w14:paraId="00000110">
            <w:pPr>
              <w:jc w:val="both"/>
              <w:rPr>
                <w:b w:val="0"/>
                <w:bCs w:val="0"/>
              </w:rPr>
            </w:pPr>
            <w:r w:rsidDel="00000000" w:rsidR="00000000" w:rsidRPr="00000000">
              <w:rPr>
                <w:b w:val="0"/>
                <w:bCs w:val="0"/>
                <w:rtl w:val="0"/>
              </w:rPr>
              <w:t xml:space="preserve">Mitigación</w:t>
            </w:r>
          </w:p>
        </w:tc>
      </w:tr>
      <w:tr>
        <w:trPr>
          <w:cantSplit w:val="0"/>
          <w:tblHeader w:val="0"/>
        </w:trPr>
        <w:tc>
          <w:tcPr/>
          <w:p w:rsidR="00000000" w:rsidDel="00000000" w:rsidP="00000000" w:rsidRDefault="00000000" w:rsidRPr="00000000" w14:paraId="00000111">
            <w:pPr>
              <w:jc w:val="both"/>
              <w:rPr>
                <w:b w:val="0"/>
                <w:bCs w:val="0"/>
              </w:rPr>
            </w:pPr>
            <w:r w:rsidDel="00000000" w:rsidR="00000000" w:rsidRPr="00000000">
              <w:rPr>
                <w:rtl w:val="0"/>
              </w:rPr>
              <w:t xml:space="preserve">Cambio de gobierno suspende el programa</w:t>
            </w:r>
            <w:r w:rsidDel="00000000" w:rsidR="00000000" w:rsidRPr="00000000">
              <w:rPr>
                <w:rtl w:val="0"/>
              </w:rPr>
            </w:r>
          </w:p>
        </w:tc>
        <w:tc>
          <w:tcPr/>
          <w:p w:rsidR="00000000" w:rsidDel="00000000" w:rsidP="00000000" w:rsidRDefault="00000000" w:rsidRPr="00000000" w14:paraId="00000112">
            <w:pPr>
              <w:jc w:val="both"/>
              <w:rPr/>
            </w:pPr>
            <w:r w:rsidDel="00000000" w:rsidR="00000000" w:rsidRPr="00000000">
              <w:rPr>
                <w:rtl w:val="0"/>
              </w:rPr>
              <w:t xml:space="preserve">Consejo Permanente 2036 + fideicomiso público (Ley 189-11)</w:t>
            </w:r>
          </w:p>
        </w:tc>
      </w:tr>
      <w:tr>
        <w:trPr>
          <w:cantSplit w:val="0"/>
          <w:tblHeader w:val="0"/>
        </w:trPr>
        <w:tc>
          <w:tcPr/>
          <w:p w:rsidR="00000000" w:rsidDel="00000000" w:rsidP="00000000" w:rsidRDefault="00000000" w:rsidRPr="00000000" w14:paraId="00000113">
            <w:pPr>
              <w:jc w:val="both"/>
              <w:rPr/>
            </w:pPr>
            <w:r w:rsidDel="00000000" w:rsidR="00000000" w:rsidRPr="00000000">
              <w:rPr>
                <w:rtl w:val="0"/>
              </w:rPr>
              <w:t xml:space="preserve">Huracán categoría 4-5 daña infraestructura</w:t>
            </w:r>
          </w:p>
        </w:tc>
        <w:tc>
          <w:tcPr/>
          <w:p w:rsidR="00000000" w:rsidDel="00000000" w:rsidP="00000000" w:rsidRDefault="00000000" w:rsidRPr="00000000" w14:paraId="00000114">
            <w:pPr>
              <w:jc w:val="both"/>
              <w:rPr/>
            </w:pPr>
            <w:r w:rsidDel="00000000" w:rsidR="00000000" w:rsidRPr="00000000">
              <w:rPr>
                <w:rtl w:val="0"/>
              </w:rPr>
              <w:t xml:space="preserve">Estándares ACI/ASCE + seguros catastróficos + Ozama como amortiguador</w:t>
            </w:r>
          </w:p>
        </w:tc>
      </w:tr>
      <w:tr>
        <w:trPr>
          <w:cantSplit w:val="0"/>
          <w:tblHeader w:val="0"/>
        </w:trPr>
        <w:tc>
          <w:tcPr/>
          <w:p w:rsidR="00000000" w:rsidDel="00000000" w:rsidP="00000000" w:rsidRDefault="00000000" w:rsidRPr="00000000" w14:paraId="00000115">
            <w:pPr>
              <w:jc w:val="both"/>
              <w:rPr/>
            </w:pPr>
            <w:r w:rsidDel="00000000" w:rsidR="00000000" w:rsidRPr="00000000">
              <w:rPr>
                <w:rtl w:val="0"/>
              </w:rPr>
              <w:t xml:space="preserve">APP Ley 47-20 no atrae inversionistas</w:t>
            </w:r>
          </w:p>
        </w:tc>
        <w:tc>
          <w:tcPr/>
          <w:p w:rsidR="00000000" w:rsidDel="00000000" w:rsidP="00000000" w:rsidRDefault="00000000" w:rsidRPr="00000000" w14:paraId="00000116">
            <w:pPr>
              <w:jc w:val="both"/>
              <w:rPr/>
            </w:pPr>
            <w:r w:rsidDel="00000000" w:rsidR="00000000" w:rsidRPr="00000000">
              <w:rPr>
                <w:rtl w:val="0"/>
              </w:rPr>
              <w:t xml:space="preserve">Garantías del Estado + respaldo BID/Banco Mundial + bonos verdes</w:t>
            </w:r>
          </w:p>
        </w:tc>
      </w:tr>
      <w:tr>
        <w:trPr>
          <w:cantSplit w:val="0"/>
          <w:tblHeader w:val="0"/>
        </w:trPr>
        <w:tc>
          <w:tcPr/>
          <w:p w:rsidR="00000000" w:rsidDel="00000000" w:rsidP="00000000" w:rsidRDefault="00000000" w:rsidRPr="00000000" w14:paraId="00000117">
            <w:pPr>
              <w:jc w:val="both"/>
              <w:rPr/>
            </w:pPr>
            <w:r w:rsidDel="00000000" w:rsidR="00000000" w:rsidRPr="00000000">
              <w:rPr>
                <w:rtl w:val="0"/>
              </w:rPr>
              <w:t xml:space="preserve">Resistencia ciudadana por reubicaciones</w:t>
            </w:r>
          </w:p>
        </w:tc>
        <w:tc>
          <w:tcPr/>
          <w:p w:rsidR="00000000" w:rsidDel="00000000" w:rsidP="00000000" w:rsidRDefault="00000000" w:rsidRPr="00000000" w14:paraId="00000118">
            <w:pPr>
              <w:jc w:val="both"/>
              <w:rPr/>
            </w:pPr>
            <w:r w:rsidDel="00000000" w:rsidR="00000000" w:rsidRPr="00000000">
              <w:rPr>
                <w:rtl w:val="0"/>
              </w:rPr>
              <w:t xml:space="preserve">Consulta vinculante por barrio + presupuesto participativo digital</w:t>
            </w:r>
          </w:p>
        </w:tc>
      </w:tr>
      <w:tr>
        <w:trPr>
          <w:cantSplit w:val="0"/>
          <w:tblHeader w:val="0"/>
        </w:trPr>
        <w:tc>
          <w:tcPr/>
          <w:p w:rsidR="00000000" w:rsidDel="00000000" w:rsidP="00000000" w:rsidRDefault="00000000" w:rsidRPr="00000000" w14:paraId="00000119">
            <w:pPr>
              <w:jc w:val="both"/>
              <w:rPr/>
            </w:pPr>
            <w:r w:rsidDel="00000000" w:rsidR="00000000" w:rsidRPr="00000000">
              <w:rPr>
                <w:rtl w:val="0"/>
              </w:rPr>
              <w:t xml:space="preserve">Brechas digitales y exclusión tecnológica</w:t>
            </w:r>
          </w:p>
        </w:tc>
        <w:tc>
          <w:tcPr/>
          <w:p w:rsidR="00000000" w:rsidDel="00000000" w:rsidP="00000000" w:rsidRDefault="00000000" w:rsidRPr="00000000" w14:paraId="0000011A">
            <w:pPr>
              <w:jc w:val="both"/>
              <w:rPr/>
            </w:pPr>
            <w:r w:rsidDel="00000000" w:rsidR="00000000" w:rsidRPr="00000000">
              <w:rPr>
                <w:rtl w:val="0"/>
              </w:rPr>
              <w:t xml:space="preserve">Wi-Fi gratuito + atención presencial garantizada en paralelo</w:t>
            </w:r>
          </w:p>
        </w:tc>
      </w:tr>
      <w:tr>
        <w:trPr>
          <w:cantSplit w:val="0"/>
          <w:tblHeader w:val="0"/>
        </w:trPr>
        <w:tc>
          <w:tcPr/>
          <w:p w:rsidR="00000000" w:rsidDel="00000000" w:rsidP="00000000" w:rsidRDefault="00000000" w:rsidRPr="00000000" w14:paraId="0000011B">
            <w:pPr>
              <w:jc w:val="both"/>
              <w:rPr/>
            </w:pPr>
            <w:r w:rsidDel="00000000" w:rsidR="00000000" w:rsidRPr="00000000">
              <w:rPr>
                <w:rtl w:val="0"/>
              </w:rPr>
              <w:t xml:space="preserve">Ciberataques al sistema de la ciudad</w:t>
            </w:r>
          </w:p>
        </w:tc>
        <w:tc>
          <w:tcPr/>
          <w:p w:rsidR="00000000" w:rsidDel="00000000" w:rsidP="00000000" w:rsidRDefault="00000000" w:rsidRPr="00000000" w14:paraId="0000011C">
            <w:pPr>
              <w:jc w:val="both"/>
              <w:rPr/>
            </w:pPr>
            <w:r w:rsidDel="00000000" w:rsidR="00000000" w:rsidRPr="00000000">
              <w:rPr>
                <w:rtl w:val="0"/>
              </w:rPr>
              <w:t xml:space="preserve">Arquitectura zero-trust + equipo CSIRT permanente + Ley 53-07</w:t>
            </w:r>
          </w:p>
        </w:tc>
      </w:tr>
    </w:tbl>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Sinergia del equipo y alianzas de impacto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Equipo multidisciplinario UAPA con perfiles complementarios en tecnología, finanzas y derecho. Vinculación directa con Actuana Academy como socio técnico para la componente de educación STEAM y monitoreo ambiental con sensores ESP32. Red de soporte con organismos internacionales como BID, Banco Mundial y AFD, capaz de acelerar el crecimiento y la sostenibilidad del modelo.</w:t>
      </w:r>
    </w:p>
    <w:p w:rsidR="00000000" w:rsidDel="00000000" w:rsidP="00000000" w:rsidRDefault="00000000" w:rsidRPr="00000000" w14:paraId="00000120">
      <w:pPr>
        <w:pStyle w:val="Heading2"/>
        <w:jc w:val="both"/>
        <w:rPr/>
      </w:pPr>
      <w:bookmarkStart w:colFirst="0" w:colLast="0" w:name="_heading=h.l0i9obmsd5wl" w:id="11"/>
      <w:bookmarkEnd w:id="11"/>
      <w:r w:rsidDel="00000000" w:rsidR="00000000" w:rsidRPr="00000000">
        <w:rPr>
          <w:rtl w:val="0"/>
        </w:rPr>
        <w:t xml:space="preserve">Santo Domingo 2036: el futuro no se espera, se construye hoy.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Santo Domingo 2036 se presenta como una propuesta viable, no como una utopía, porque combina tres elementos que rara vez coinciden en un mismo plan: decisión política sostenible, planificación técnica rigurosa y financiamiento recuperable.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país ya tiene todo lo que necesita para comenzar. Tiene el marco legal: doce leyes vigentes que habilitan cada componente de esta propuesta sin requerir ninguna reforma de fondo. Tiene la experiencia: el Metro de Santo Domingo demostró que el transporte masivo funciona y transforma vidas. Tiene la alineación estratégica: la Ley 1-12 y la Meta RD 2036 ya señalan el camino. </w:t>
      </w:r>
      <w:r w:rsidDel="00000000" w:rsidR="00000000" w:rsidRPr="00000000">
        <w:rPr>
          <w:rFonts w:ascii="Times New Roman" w:cs="Times New Roman" w:eastAsia="Times New Roman" w:hAnsi="Times New Roman"/>
          <w:sz w:val="24"/>
          <w:szCs w:val="24"/>
          <w:rtl w:val="0"/>
        </w:rPr>
        <w:t xml:space="preserve">Tiene talento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Actuana Academy y los estudiantes de UAPA son prueba de que la innovación tecnológica se puede construir desde adentro.</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 que falta no es una nueva ley ni un nuevo organismo. Lo que falta es decisión: la voluntad de coordinar lo que ya existe, de ejecutar lo que ya está diseñado y de mantener la continuidad más allá de los ciclos políticos.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propuesta organiza esa decisión en una secuencia lógica y ejecutable. Primero el Metro, porque sin movilidad no hay ciudad funcional. Luego los barrios dignos, porque sin equidad territorial no hay cohesión social. Después el Distrito Histórico-Tecnológico, porque sin competitividad internacional no hay crecimiento sostenido. Y de forma transversal, siempre, la educación: porque sin ciudadanos preparados, ninguna infraestructura inteligente tiene sentido.</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Santo Domingo 2036 no es el final de un proceso. Es el comienzo responsable de uno. Y ese comienzo se construye en el presente, una estación, un barrio, un estudiante y una decisión a la vez.</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República Dominicana tiene todo lo que necesita para ser el referente urbano del Caribe en 2036. Solo falta decidirlo.</w:t>
      </w:r>
      <w:r w:rsidDel="00000000" w:rsidR="00000000" w:rsidRPr="00000000">
        <w:rPr>
          <w:rtl w:val="0"/>
        </w:rPr>
      </w:r>
    </w:p>
    <w:p w:rsidR="00000000" w:rsidDel="00000000" w:rsidP="00000000" w:rsidRDefault="00000000" w:rsidRPr="00000000" w14:paraId="00000127">
      <w:pPr>
        <w:pStyle w:val="Heading2"/>
        <w:jc w:val="both"/>
        <w:rPr/>
      </w:pPr>
      <w:bookmarkStart w:colFirst="0" w:colLast="0" w:name="_heading=h.q7vupgmj05m1" w:id="12"/>
      <w:bookmarkEnd w:id="12"/>
      <w:r w:rsidDel="00000000" w:rsidR="00000000" w:rsidRPr="00000000">
        <w:rPr>
          <w:rtl w:val="0"/>
        </w:rPr>
        <w:t xml:space="preserve">Referencias</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Marco legal dominicano</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Ley 1-12 · Estrategia Nacional de Desarrollo de la República Dominicana 2030</w:t>
      </w:r>
    </w:p>
    <w:p w:rsidR="00000000" w:rsidDel="00000000" w:rsidP="00000000" w:rsidRDefault="00000000" w:rsidRPr="00000000" w14:paraId="000001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Ley 47-20 · Ley de Alianzas Público-Privadas</w:t>
      </w:r>
    </w:p>
    <w:p w:rsidR="00000000" w:rsidDel="00000000" w:rsidP="00000000" w:rsidRDefault="00000000" w:rsidRPr="00000000" w14:paraId="000001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Ley 53-07 · Sobre crímenes y delitos de alta tecnología</w:t>
      </w:r>
    </w:p>
    <w:p w:rsidR="00000000" w:rsidDel="00000000" w:rsidP="00000000" w:rsidRDefault="00000000" w:rsidRPr="00000000" w14:paraId="000001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Ley 57-07 · Incentivo al desarrollo de fuentes renovables de energía</w:t>
      </w:r>
    </w:p>
    <w:p w:rsidR="00000000" w:rsidDel="00000000" w:rsidP="00000000" w:rsidRDefault="00000000" w:rsidRPr="00000000" w14:paraId="000001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Ley 63-17 · Movilidad, Transporte Terrestre, Tránsito y Seguridad Vial</w:t>
      </w:r>
    </w:p>
    <w:p w:rsidR="00000000" w:rsidDel="00000000" w:rsidP="00000000" w:rsidRDefault="00000000" w:rsidRPr="00000000" w14:paraId="000001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Ley 103-13 · De incentivo a la importación de vehículos de energía no convencional</w:t>
      </w:r>
    </w:p>
    <w:p w:rsidR="00000000" w:rsidDel="00000000" w:rsidP="00000000" w:rsidRDefault="00000000" w:rsidRPr="00000000" w14:paraId="000001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Ley 172-13 · Sobre Protección Integral de Datos Personales</w:t>
      </w:r>
    </w:p>
    <w:p w:rsidR="00000000" w:rsidDel="00000000" w:rsidP="00000000" w:rsidRDefault="00000000" w:rsidRPr="00000000" w14:paraId="000001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Ley 189-11 · Para el desarrollo del mercado hipotecario y el fideicomiso</w:t>
      </w:r>
    </w:p>
    <w:p w:rsidR="00000000" w:rsidDel="00000000" w:rsidP="00000000" w:rsidRDefault="00000000" w:rsidRPr="00000000" w14:paraId="000001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Ley 225-20 · General de Gestión Integral y Coprocesamiento de Residuos Sólidos</w:t>
      </w:r>
    </w:p>
    <w:p w:rsidR="00000000" w:rsidDel="00000000" w:rsidP="00000000" w:rsidRDefault="00000000" w:rsidRPr="00000000" w14:paraId="000001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Ley 249-17 · Del Mercado de Valores</w:t>
      </w:r>
    </w:p>
    <w:p w:rsidR="00000000" w:rsidDel="00000000" w:rsidP="00000000" w:rsidRDefault="00000000" w:rsidRPr="00000000" w14:paraId="000001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Ley 368-22 · De Ordenamiento Territorial, Uso de Suelo y Asentamientos Humanos</w:t>
      </w:r>
    </w:p>
    <w:p w:rsidR="00000000" w:rsidDel="00000000" w:rsidP="00000000" w:rsidRDefault="00000000" w:rsidRPr="00000000" w14:paraId="000001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Ley 169-16 · Régimen especial sobre regularización migratoria</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Fuentes institucionales nacionales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OPRET · Oficina para el Reordenamiento del Transporte</w:t>
      </w:r>
    </w:p>
    <w:p w:rsidR="00000000" w:rsidDel="00000000" w:rsidP="00000000" w:rsidRDefault="00000000" w:rsidRPr="00000000" w14:paraId="000001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MEPyD · Ministerio de Economía, Planificación y Desarrollo · Meta RD 2036</w:t>
      </w:r>
    </w:p>
    <w:p w:rsidR="00000000" w:rsidDel="00000000" w:rsidP="00000000" w:rsidRDefault="00000000" w:rsidRPr="00000000" w14:paraId="000001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MINERD · Ministerio de Educación · Resultados PISA 2022</w:t>
      </w:r>
    </w:p>
    <w:p w:rsidR="00000000" w:rsidDel="00000000" w:rsidP="00000000" w:rsidRDefault="00000000" w:rsidRPr="00000000" w14:paraId="000001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MIVED · Ministerio de la Vivienda y Edificaciones</w:t>
      </w:r>
    </w:p>
    <w:p w:rsidR="00000000" w:rsidDel="00000000" w:rsidP="00000000" w:rsidRDefault="00000000" w:rsidRPr="00000000" w14:paraId="000001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INTRANT · Instituto Nacional de Tránsito y Transporte Terrestre</w:t>
      </w:r>
    </w:p>
    <w:p w:rsidR="00000000" w:rsidDel="00000000" w:rsidP="00000000" w:rsidRDefault="00000000" w:rsidRPr="00000000" w14:paraId="000001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ONAMET · Oficina Nacional de Meteorología</w:t>
      </w:r>
    </w:p>
    <w:p w:rsidR="00000000" w:rsidDel="00000000" w:rsidP="00000000" w:rsidRDefault="00000000" w:rsidRPr="00000000" w14:paraId="000001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ADN · Ayuntamiento del Distrito Nacional</w:t>
      </w:r>
    </w:p>
    <w:p w:rsidR="00000000" w:rsidDel="00000000" w:rsidP="00000000" w:rsidRDefault="00000000" w:rsidRPr="00000000" w14:paraId="000001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CAASD · Corporación del Acueducto y Alcantarillado de Santo Domingo</w:t>
      </w:r>
    </w:p>
    <w:p w:rsidR="00000000" w:rsidDel="00000000" w:rsidP="00000000" w:rsidRDefault="00000000" w:rsidRPr="00000000" w14:paraId="000001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DIGESETT · Dirección General de Seguridad de Tránsito y Transporte Terrestre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Organismos internacionales</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BID · Banco Interamericano de Desarrollo · Iniciativa Ciudades Emergentes y Sostenibles</w:t>
      </w:r>
    </w:p>
    <w:p w:rsidR="00000000" w:rsidDel="00000000" w:rsidP="00000000" w:rsidRDefault="00000000" w:rsidRPr="00000000" w14:paraId="000001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Banco Mundial · Reportes de Urbanización en América Latina y el Caribe</w:t>
      </w:r>
    </w:p>
    <w:p w:rsidR="00000000" w:rsidDel="00000000" w:rsidP="00000000" w:rsidRDefault="00000000" w:rsidRPr="00000000" w14:paraId="000001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ONU-Hábitat · Nueva Agenda Urbana</w:t>
      </w:r>
    </w:p>
    <w:p w:rsidR="00000000" w:rsidDel="00000000" w:rsidP="00000000" w:rsidRDefault="00000000" w:rsidRPr="00000000" w14:paraId="000001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AFD · Agencia Francesa de Desarrollo</w:t>
      </w:r>
    </w:p>
    <w:p w:rsidR="00000000" w:rsidDel="00000000" w:rsidP="00000000" w:rsidRDefault="00000000" w:rsidRPr="00000000" w14:paraId="000001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OCDE/PISA · Programa para la Evaluación Internacional de Alumnos 2022</w:t>
      </w:r>
    </w:p>
    <w:p w:rsidR="00000000" w:rsidDel="00000000" w:rsidP="00000000" w:rsidRDefault="00000000" w:rsidRPr="00000000" w14:paraId="000001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ICMA · Green Bond Principles y Social Bond Principles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Casos de referencia internacional</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Río de Janeiro, Brasil · Centro de Operações Rio (COR)</w:t>
      </w:r>
    </w:p>
    <w:p w:rsidR="00000000" w:rsidDel="00000000" w:rsidP="00000000" w:rsidRDefault="00000000" w:rsidRPr="00000000" w14:paraId="000001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Medellín, Colombia · Ruta N, distrito de innovación</w:t>
      </w:r>
    </w:p>
    <w:p w:rsidR="00000000" w:rsidDel="00000000" w:rsidP="00000000" w:rsidRDefault="00000000" w:rsidRPr="00000000" w14:paraId="000001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Curitiba, Brasil · Sistema integrado de transporte BRT</w:t>
      </w:r>
    </w:p>
    <w:p w:rsidR="00000000" w:rsidDel="00000000" w:rsidP="00000000" w:rsidRDefault="00000000" w:rsidRPr="00000000" w14:paraId="000001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Estonia · Modelo de identidad digital única y servicios gubernamentales en línea</w:t>
      </w:r>
    </w:p>
    <w:p w:rsidR="00000000" w:rsidDel="00000000" w:rsidP="00000000" w:rsidRDefault="00000000" w:rsidRPr="00000000" w14:paraId="000001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Singapur · Smart Nation y gemelo digital urbano</w:t>
      </w:r>
    </w:p>
    <w:p w:rsidR="00000000" w:rsidDel="00000000" w:rsidP="00000000" w:rsidRDefault="00000000" w:rsidRPr="00000000" w14:paraId="000001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Rotterdam, Países Bajos · Estrategia de adaptación climática urbana</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Documentación técnica</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Actuana Academy · Sistema de monitoreo ambiental con sensores ESP32 · Santo Domingo, 2025–2026</w:t>
      </w:r>
    </w:p>
    <w:p w:rsidR="00000000" w:rsidDel="00000000" w:rsidP="00000000" w:rsidRDefault="00000000" w:rsidRPr="00000000" w14:paraId="000001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Actuana Academy · Programa STEAM de robótica educativa · Documentación curricular, 2021–2026</w:t>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pPr>
      <w:r w:rsidDel="00000000" w:rsidR="00000000" w:rsidRPr="00000000">
        <w:rPr>
          <w:rtl w:val="0"/>
        </w:rPr>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jc w:val="both"/>
        <w:rPr/>
      </w:pPr>
      <w:r w:rsidDel="00000000" w:rsidR="00000000" w:rsidRPr="00000000">
        <w:rPr>
          <w:rtl w:val="0"/>
        </w:rPr>
      </w:r>
    </w:p>
    <w:sectPr>
      <w:headerReference r:id="rId8" w:type="default"/>
      <w:footerReference r:id="rId9" w:type="default"/>
      <w:footerReference r:id="rId10" w:type="even"/>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Play">
    <w:embedRegular w:fontKey="{00000000-0000-0000-0000-000000000000}" r:id="rId1" w:subsetted="0"/>
    <w:embedBold w:fontKey="{00000000-0000-0000-0000-000000000000}" r:id="rId2" w:subsetted="0"/>
  </w:font>
  <w:font w:name="Aptos"/>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A">
    <w:pPr>
      <w:pBdr>
        <w:top w:color="b8962e" w:space="1" w:sz="4" w:val="single"/>
      </w:pBdr>
      <w:ind w:right="360"/>
      <w:rPr/>
    </w:pPr>
    <w:r w:rsidDel="00000000" w:rsidR="00000000" w:rsidRPr="00000000">
      <w:rPr>
        <w:color w:val="888888"/>
        <w:sz w:val="18"/>
        <w:szCs w:val="18"/>
        <w:rtl w:val="0"/>
      </w:rPr>
      <w:t xml:space="preserve">Universidad Abierta para Adultos (UAPA)  |  Santo Domingo, República Dominicana  |  5 de mayo de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pBdr>
        <w:bottom w:color="b8962e" w:space="1" w:sz="4" w:val="single"/>
      </w:pBdr>
      <w:rPr/>
    </w:pPr>
    <w:r w:rsidDel="00000000" w:rsidR="00000000" w:rsidRPr="00000000">
      <w:rPr>
        <w:color w:val="888888"/>
        <w:sz w:val="18"/>
        <w:szCs w:val="18"/>
        <w:rtl w:val="0"/>
      </w:rPr>
      <w:t xml:space="preserve">UAPA  |  Ciudad del Futuro 2036  |  Desafío Finanzas &amp; Real Estate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D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fffff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0a162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b6ca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c1e4f5" w:val="clear"/>
      </w:tcPr>
    </w:tblStylePr>
    <w:tblStylePr w:type="band1Vert">
      <w:tcPr>
        <w:shd w:fill="c1e4f5" w:val="clear"/>
      </w:tcPr>
    </w:tblStylePr>
    <w:tblStylePr w:type="firstCol">
      <w:rPr>
        <w:b w:val="1"/>
        <w:bCs w:val="1"/>
      </w:rPr>
    </w:tblStylePr>
    <w:tblStylePr w:type="firstRow">
      <w:rPr>
        <w:b w:val="1"/>
        <w:bCs w:val="1"/>
        <w:color w:val="ffffff"/>
      </w:rPr>
      <w:tcPr>
        <w:tcBorders>
          <w:top w:color="156082" w:space="0" w:sz="4" w:val="single"/>
          <w:left w:color="156082" w:space="0" w:sz="4" w:val="single"/>
          <w:bottom w:color="156082" w:space="0" w:sz="4" w:val="single"/>
          <w:right w:color="156082" w:space="0" w:sz="4" w:val="single"/>
          <w:insideH w:color="000000" w:space="0" w:sz="0" w:val="nil"/>
          <w:insideV w:color="000000" w:space="0" w:sz="0" w:val="nil"/>
        </w:tcBorders>
        <w:shd w:fill="156082" w:val="clear"/>
      </w:tcPr>
    </w:tblStylePr>
    <w:tblStylePr w:type="lastCol">
      <w:rPr>
        <w:b w:val="1"/>
        <w:bCs w:val="1"/>
      </w:rPr>
    </w:tblStylePr>
    <w:tblStylePr w:type="lastRow">
      <w:rPr>
        <w:b w:val="1"/>
        <w:bCs w:val="1"/>
      </w:rPr>
      <w:tcPr>
        <w:tcBorders>
          <w:top w:color="156082" w:space="0" w:sz="4"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c1e4f5" w:val="clear"/>
      </w:tcPr>
    </w:tblStylePr>
    <w:tblStylePr w:type="band1Vert">
      <w:tcPr>
        <w:shd w:fill="c1e4f5" w:val="clear"/>
      </w:tcPr>
    </w:tblStylePr>
    <w:tblStylePr w:type="firstCol">
      <w:rPr>
        <w:b w:val="1"/>
        <w:bCs w:val="1"/>
      </w:rPr>
    </w:tblStylePr>
    <w:tblStylePr w:type="firstRow">
      <w:rPr>
        <w:b w:val="1"/>
        <w:bCs w:val="1"/>
        <w:color w:val="ffffff"/>
      </w:rPr>
      <w:tcPr>
        <w:tcBorders>
          <w:top w:color="156082" w:space="0" w:sz="4" w:val="single"/>
          <w:left w:color="156082" w:space="0" w:sz="4" w:val="single"/>
          <w:bottom w:color="156082" w:space="0" w:sz="4" w:val="single"/>
          <w:right w:color="156082" w:space="0" w:sz="4" w:val="single"/>
          <w:insideH w:color="000000" w:space="0" w:sz="0" w:val="nil"/>
          <w:insideV w:color="000000" w:space="0" w:sz="0" w:val="nil"/>
        </w:tcBorders>
        <w:shd w:fill="156082" w:val="clear"/>
      </w:tcPr>
    </w:tblStylePr>
    <w:tblStylePr w:type="lastCol">
      <w:rPr>
        <w:b w:val="1"/>
        <w:bCs w:val="1"/>
      </w:rPr>
    </w:tblStylePr>
    <w:tblStylePr w:type="lastRow">
      <w:rPr>
        <w:b w:val="1"/>
        <w:bCs w:val="1"/>
      </w:rPr>
      <w:tcPr>
        <w:tcBorders>
          <w:top w:color="156082"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c1e4f5" w:val="clear"/>
      </w:tcPr>
    </w:tblStylePr>
    <w:tblStylePr w:type="band1Vert">
      <w:tcPr>
        <w:shd w:fill="c1e4f5" w:val="clear"/>
      </w:tcPr>
    </w:tblStylePr>
    <w:tblStylePr w:type="firstCol">
      <w:rPr>
        <w:b w:val="1"/>
        <w:bCs w:val="1"/>
      </w:rPr>
    </w:tblStylePr>
    <w:tblStylePr w:type="firstRow">
      <w:rPr>
        <w:b w:val="1"/>
        <w:bCs w:val="1"/>
        <w:color w:val="ffffff"/>
      </w:rPr>
      <w:tcPr>
        <w:tcBorders>
          <w:top w:color="156082" w:space="0" w:sz="4" w:val="single"/>
          <w:left w:color="156082" w:space="0" w:sz="4" w:val="single"/>
          <w:bottom w:color="156082" w:space="0" w:sz="4" w:val="single"/>
          <w:right w:color="156082" w:space="0" w:sz="4" w:val="single"/>
          <w:insideH w:color="000000" w:space="0" w:sz="0" w:val="nil"/>
          <w:insideV w:color="000000" w:space="0" w:sz="0" w:val="nil"/>
        </w:tcBorders>
        <w:shd w:fill="156082" w:val="clear"/>
      </w:tcPr>
    </w:tblStylePr>
    <w:tblStylePr w:type="lastCol">
      <w:rPr>
        <w:b w:val="1"/>
        <w:bCs w:val="1"/>
      </w:rPr>
    </w:tblStylePr>
    <w:tblStylePr w:type="lastRow">
      <w:rPr>
        <w:b w:val="1"/>
        <w:bCs w:val="1"/>
      </w:rPr>
      <w:tcPr>
        <w:tcBorders>
          <w:top w:color="156082" w:space="0" w:sz="4"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shd w:fill="c1e4f5" w:val="clear"/>
      </w:tcPr>
    </w:tblStylePr>
    <w:tblStylePr w:type="band1Vert">
      <w:tcPr>
        <w:shd w:fill="c1e4f5" w:val="clear"/>
      </w:tcPr>
    </w:tblStylePr>
    <w:tblStylePr w:type="firstCol">
      <w:rPr>
        <w:b w:val="1"/>
        <w:bCs w:val="1"/>
      </w:rPr>
    </w:tblStylePr>
    <w:tblStylePr w:type="firstRow">
      <w:rPr>
        <w:b w:val="1"/>
        <w:bCs w:val="1"/>
        <w:color w:val="ffffff"/>
      </w:rPr>
      <w:tcPr>
        <w:tcBorders>
          <w:top w:color="156082" w:space="0" w:sz="4" w:val="single"/>
          <w:left w:color="156082" w:space="0" w:sz="4" w:val="single"/>
          <w:bottom w:color="156082" w:space="0" w:sz="4" w:val="single"/>
          <w:right w:color="156082" w:space="0" w:sz="4" w:val="single"/>
          <w:insideH w:color="000000" w:space="0" w:sz="0" w:val="nil"/>
          <w:insideV w:color="000000" w:space="0" w:sz="0" w:val="nil"/>
        </w:tcBorders>
        <w:shd w:fill="156082" w:val="clear"/>
      </w:tcPr>
    </w:tblStylePr>
    <w:tblStylePr w:type="lastCol">
      <w:rPr>
        <w:b w:val="1"/>
        <w:bCs w:val="1"/>
      </w:rPr>
    </w:tblStylePr>
    <w:tblStylePr w:type="lastRow">
      <w:rPr>
        <w:b w:val="1"/>
        <w:bCs w:val="1"/>
      </w:rPr>
      <w:tcPr>
        <w:tcBorders>
          <w:top w:color="156082" w:space="0" w:sz="4"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shd w:fill="c1e4f5" w:val="clear"/>
      </w:tcPr>
    </w:tblStylePr>
    <w:tblStylePr w:type="band1Vert">
      <w:tcPr>
        <w:shd w:fill="c1e4f5" w:val="clear"/>
      </w:tcPr>
    </w:tblStylePr>
    <w:tblStylePr w:type="firstCol">
      <w:rPr>
        <w:b w:val="1"/>
        <w:bCs w:val="1"/>
      </w:rPr>
    </w:tblStylePr>
    <w:tblStylePr w:type="firstRow">
      <w:rPr>
        <w:b w:val="1"/>
        <w:bCs w:val="1"/>
        <w:color w:val="ffffff"/>
      </w:rPr>
      <w:tcPr>
        <w:tcBorders>
          <w:top w:color="156082" w:space="0" w:sz="4" w:val="single"/>
          <w:left w:color="156082" w:space="0" w:sz="4" w:val="single"/>
          <w:bottom w:color="156082" w:space="0" w:sz="4" w:val="single"/>
          <w:right w:color="156082" w:space="0" w:sz="4" w:val="single"/>
          <w:insideH w:color="000000" w:space="0" w:sz="0" w:val="nil"/>
          <w:insideV w:color="000000" w:space="0" w:sz="0" w:val="nil"/>
        </w:tcBorders>
        <w:shd w:fill="156082" w:val="clear"/>
      </w:tcPr>
    </w:tblStylePr>
    <w:tblStylePr w:type="lastCol">
      <w:rPr>
        <w:b w:val="1"/>
        <w:bCs w:val="1"/>
      </w:rPr>
    </w:tblStylePr>
    <w:tblStylePr w:type="lastRow">
      <w:rPr>
        <w:b w:val="1"/>
        <w:bCs w:val="1"/>
      </w:rPr>
      <w:tcPr>
        <w:tcBorders>
          <w:top w:color="156082" w:space="0" w:sz="4"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shd w:fill="c1e4f5" w:val="clear"/>
      </w:tcPr>
    </w:tblStylePr>
    <w:tblStylePr w:type="band1Vert">
      <w:tcPr>
        <w:shd w:fill="c1e4f5" w:val="clear"/>
      </w:tcPr>
    </w:tblStylePr>
    <w:tblStylePr w:type="firstCol">
      <w:rPr>
        <w:b w:val="1"/>
        <w:bCs w:val="1"/>
      </w:rPr>
    </w:tblStylePr>
    <w:tblStylePr w:type="firstRow">
      <w:rPr>
        <w:b w:val="1"/>
        <w:bCs w:val="1"/>
        <w:color w:val="ffffff"/>
      </w:rPr>
      <w:tcPr>
        <w:tcBorders>
          <w:top w:color="156082" w:space="0" w:sz="4" w:val="single"/>
          <w:left w:color="156082" w:space="0" w:sz="4" w:val="single"/>
          <w:bottom w:color="156082" w:space="0" w:sz="4" w:val="single"/>
          <w:right w:color="156082" w:space="0" w:sz="4" w:val="single"/>
          <w:insideH w:color="000000" w:space="0" w:sz="0" w:val="nil"/>
          <w:insideV w:color="000000" w:space="0" w:sz="0" w:val="nil"/>
        </w:tcBorders>
        <w:shd w:fill="156082" w:val="clear"/>
      </w:tcPr>
    </w:tblStylePr>
    <w:tblStylePr w:type="lastCol">
      <w:rPr>
        <w:b w:val="1"/>
        <w:bCs w:val="1"/>
      </w:rPr>
    </w:tblStylePr>
    <w:tblStylePr w:type="lastRow">
      <w:rPr>
        <w:b w:val="1"/>
        <w:bCs w:val="1"/>
      </w:rPr>
      <w:tcPr>
        <w:tcBorders>
          <w:top w:color="156082" w:space="0" w:sz="4"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shd w:fill="c1e4f5" w:val="clear"/>
      </w:tcPr>
    </w:tblStylePr>
    <w:tblStylePr w:type="band1Vert">
      <w:tcPr>
        <w:shd w:fill="c1e4f5" w:val="clear"/>
      </w:tcPr>
    </w:tblStylePr>
    <w:tblStylePr w:type="firstCol">
      <w:rPr>
        <w:b w:val="1"/>
        <w:bCs w:val="1"/>
      </w:rPr>
    </w:tblStylePr>
    <w:tblStylePr w:type="firstRow">
      <w:rPr>
        <w:b w:val="1"/>
        <w:bCs w:val="1"/>
        <w:color w:val="ffffff"/>
      </w:rPr>
      <w:tcPr>
        <w:tcBorders>
          <w:top w:color="156082" w:space="0" w:sz="4" w:val="single"/>
          <w:left w:color="156082" w:space="0" w:sz="4" w:val="single"/>
          <w:bottom w:color="156082" w:space="0" w:sz="4" w:val="single"/>
          <w:right w:color="156082" w:space="0" w:sz="4" w:val="single"/>
          <w:insideH w:color="000000" w:space="0" w:sz="0" w:val="nil"/>
          <w:insideV w:color="000000" w:space="0" w:sz="0" w:val="nil"/>
        </w:tcBorders>
        <w:shd w:fill="156082" w:val="clear"/>
      </w:tcPr>
    </w:tblStylePr>
    <w:tblStylePr w:type="lastCol">
      <w:rPr>
        <w:b w:val="1"/>
        <w:bCs w:val="1"/>
      </w:rPr>
    </w:tblStylePr>
    <w:tblStylePr w:type="lastRow">
      <w:rPr>
        <w:b w:val="1"/>
        <w:bCs w:val="1"/>
      </w:rPr>
      <w:tcPr>
        <w:tcBorders>
          <w:top w:color="156082"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FbHGrIWgNhU66GCSIACJr1Z+dg==">CgMxLjAyDmgudGc5ZHEyNTV4OHZ4Mg5oLnQ3cnR6d3V5M3I2MzIOaC4zeWtzanFmY2NkN2YyDmguaGkybnRld3E1ZHkxMg5oLnd6YTR0d21yeWFncDIOaC5uOWFuY3RpbWY5NG8yDmguZDByZzJ5MnFldHAzMg5oLmwyNjlyYmszdjV5bjINaC5nMmp6Zm03Yjd6NzIOaC54dmMxYmJ0c21iaGcyDmgudGRha2N0MWtxOWptMg5oLmwwaTlvYm1zZDV3bDIOaC5xN3Z1cGdtajA1bTE4AHIhMW1VdlBXT3FnbXl4am9XNDlEMVpleGJFYjlEQl9xWF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