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1B365D"/>
          <w:sz w:val="48"/>
        </w:rPr>
        <w:t>Documentation: The OWASP Top 10 Web Application Security Risks</w:t>
      </w:r>
    </w:p>
    <w:p>
      <w:pPr>
        <w:spacing w:after="720"/>
        <w:jc w:val="center"/>
      </w:pPr>
      <w:r>
        <w:rPr>
          <w:rFonts w:ascii="Arial" w:hAnsi="Arial"/>
          <w:i/>
          <w:color w:val="4A777A"/>
          <w:sz w:val="24"/>
        </w:rPr>
        <w:t>Academic Assignment &amp; Reference Guide</w:t>
        <w:br/>
        <w:t>Date: June 2026</w:t>
      </w:r>
    </w:p>
    <w:p>
      <w:pPr>
        <w:keepNext/>
        <w:spacing w:before="360" w:after="120"/>
      </w:pPr>
      <w:r>
        <w:rPr>
          <w:rFonts w:ascii="Arial" w:hAnsi="Arial"/>
          <w:b/>
          <w:color w:val="1B365D"/>
          <w:sz w:val="32"/>
        </w:rPr>
        <w:t>1. Executive Summary</w:t>
      </w:r>
    </w:p>
    <w:p>
      <w:pPr>
        <w:spacing w:after="120" w:line="276" w:lineRule="auto"/>
      </w:pPr>
      <w:r>
        <w:rPr>
          <w:rFonts w:ascii="Calibri" w:hAnsi="Calibri"/>
          <w:i w:val="0"/>
          <w:color w:val="333333"/>
          <w:sz w:val="22"/>
        </w:rPr>
        <w:t>The Open Web Application Security Project (OWASP) is a global non-profit organization dedicated to improving software security. Its most widely recognized output, the OWASP Top 10, serves as a foundational awareness document representing the most critical security risks to web applications.</w:t>
      </w:r>
    </w:p>
    <w:p>
      <w:pPr>
        <w:spacing w:after="120" w:line="276" w:lineRule="auto"/>
      </w:pPr>
      <w:r>
        <w:rPr>
          <w:rFonts w:ascii="Calibri" w:hAnsi="Calibri"/>
          <w:i w:val="0"/>
          <w:color w:val="333333"/>
          <w:sz w:val="22"/>
        </w:rPr>
        <w:t>As the web application landscape has shifted toward cloud-native ecosystems, decoupled APIs, and continuous delivery pipelines, the OWASP framework has adapted. The current iteration places an unprecedented emphasis on systemic architectural integrity (Insecure Design) and development infrastructure protection (Software and Data Integrity, which now explicitly encompasses CI/CD pipelines). This documentation acts as a comprehensive reference guide for developers, security auditors, and engineers to understand, identify, and mitigate these top ten vulnerabilities.</w:t>
      </w:r>
    </w:p>
    <w:p>
      <w:pPr>
        <w:keepNext/>
        <w:spacing w:before="360" w:after="120"/>
      </w:pPr>
      <w:r>
        <w:rPr>
          <w:rFonts w:ascii="Arial" w:hAnsi="Arial"/>
          <w:b/>
          <w:color w:val="1B365D"/>
          <w:sz w:val="32"/>
        </w:rPr>
        <w:t>2. Overview of the OWASP Top 10 Risk Matrix</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fill="1B365D"/>
            <w:tcBorders>
              <w:top w:val="single" w:sz="4" w:space="0" w:color="CCCCCC"/>
              <w:bottom w:val="single" w:sz="8" w:space="0" w:color="000000"/>
              <w:left w:val="single" w:sz="4" w:space="0" w:color="CCCCCC"/>
              <w:right w:val="single" w:sz="4" w:space="0" w:color="CCCCCC"/>
            </w:tcBorders>
          </w:tcPr>
          <w:p>
            <w:pPr>
              <w:jc w:val="left"/>
            </w:pPr>
            <w:r>
              <w:rPr>
                <w:rFonts w:ascii="Calibri" w:hAnsi="Calibri"/>
                <w:b/>
                <w:color w:val="FFFFFF"/>
                <w:sz w:val="20"/>
              </w:rPr>
              <w:t>Risk Code</w:t>
            </w:r>
          </w:p>
        </w:tc>
        <w:tc>
          <w:tcPr>
            <w:tcW w:type="dxa" w:w="2340"/>
            <w:tcMar>
              <w:top w:w="120" w:type="dxa"/>
              <w:bottom w:w="120" w:type="dxa"/>
              <w:left w:w="150" w:type="dxa"/>
              <w:right w:w="150" w:type="dxa"/>
            </w:tcMar>
            <w:shd w:fill="1B365D"/>
            <w:tcBorders>
              <w:top w:val="single" w:sz="4" w:space="0" w:color="CCCCCC"/>
              <w:bottom w:val="single" w:sz="8" w:space="0" w:color="000000"/>
              <w:left w:val="single" w:sz="4" w:space="0" w:color="CCCCCC"/>
              <w:right w:val="single" w:sz="4" w:space="0" w:color="CCCCCC"/>
            </w:tcBorders>
          </w:tcPr>
          <w:p>
            <w:pPr>
              <w:jc w:val="left"/>
            </w:pPr>
            <w:r>
              <w:rPr>
                <w:rFonts w:ascii="Calibri" w:hAnsi="Calibri"/>
                <w:b/>
                <w:color w:val="FFFFFF"/>
                <w:sz w:val="20"/>
              </w:rPr>
              <w:t>Vulnerability Category</w:t>
            </w:r>
          </w:p>
        </w:tc>
        <w:tc>
          <w:tcPr>
            <w:tcW w:type="dxa" w:w="2340"/>
            <w:tcMar>
              <w:top w:w="120" w:type="dxa"/>
              <w:bottom w:w="120" w:type="dxa"/>
              <w:left w:w="150" w:type="dxa"/>
              <w:right w:w="150" w:type="dxa"/>
            </w:tcMar>
            <w:shd w:fill="1B365D"/>
            <w:tcBorders>
              <w:top w:val="single" w:sz="4" w:space="0" w:color="CCCCCC"/>
              <w:bottom w:val="single" w:sz="8" w:space="0" w:color="000000"/>
              <w:left w:val="single" w:sz="4" w:space="0" w:color="CCCCCC"/>
              <w:right w:val="single" w:sz="4" w:space="0" w:color="CCCCCC"/>
            </w:tcBorders>
          </w:tcPr>
          <w:p>
            <w:pPr>
              <w:jc w:val="left"/>
            </w:pPr>
            <w:r>
              <w:rPr>
                <w:rFonts w:ascii="Calibri" w:hAnsi="Calibri"/>
                <w:b/>
                <w:color w:val="FFFFFF"/>
                <w:sz w:val="20"/>
              </w:rPr>
              <w:t>Primary Impact</w:t>
            </w:r>
          </w:p>
        </w:tc>
        <w:tc>
          <w:tcPr>
            <w:tcW w:type="dxa" w:w="2340"/>
            <w:tcMar>
              <w:top w:w="120" w:type="dxa"/>
              <w:bottom w:w="120" w:type="dxa"/>
              <w:left w:w="150" w:type="dxa"/>
              <w:right w:w="150" w:type="dxa"/>
            </w:tcMar>
            <w:shd w:fill="1B365D"/>
            <w:tcBorders>
              <w:top w:val="single" w:sz="4" w:space="0" w:color="CCCCCC"/>
              <w:bottom w:val="single" w:sz="8" w:space="0" w:color="000000"/>
              <w:left w:val="single" w:sz="4" w:space="0" w:color="CCCCCC"/>
              <w:right w:val="single" w:sz="4" w:space="0" w:color="CCCCCC"/>
            </w:tcBorders>
          </w:tcPr>
          <w:p>
            <w:pPr>
              <w:jc w:val="left"/>
            </w:pPr>
            <w:r>
              <w:rPr>
                <w:rFonts w:ascii="Calibri" w:hAnsi="Calibri"/>
                <w:b/>
                <w:color w:val="FFFFFF"/>
                <w:sz w:val="20"/>
              </w:rPr>
              <w:t>Detection Difficulty</w:t>
            </w:r>
          </w:p>
        </w:tc>
      </w:tr>
      <w:tr>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b/>
                <w:color w:val="333333"/>
                <w:sz w:val="20"/>
              </w:rPr>
              <w:t>A01</w:t>
            </w:r>
          </w:p>
        </w:tc>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Broken Access Control</w:t>
            </w:r>
          </w:p>
        </w:tc>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Data Exfiltration / Privilege Escalation</w:t>
            </w:r>
          </w:p>
        </w:tc>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High (Hard to Automate)</w:t>
            </w:r>
          </w:p>
        </w:tc>
      </w:tr>
      <w:tr>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b/>
                <w:color w:val="333333"/>
                <w:sz w:val="20"/>
              </w:rPr>
              <w:t>A02</w:t>
            </w:r>
          </w:p>
        </w:tc>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Cryptographic Failures</w:t>
            </w:r>
          </w:p>
        </w:tc>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Sensitive Data Exposure / Compliance Penalties</w:t>
            </w:r>
          </w:p>
        </w:tc>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Medium</w:t>
            </w:r>
          </w:p>
        </w:tc>
      </w:tr>
      <w:tr>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b/>
                <w:color w:val="333333"/>
                <w:sz w:val="20"/>
              </w:rPr>
              <w:t>A03</w:t>
            </w:r>
          </w:p>
        </w:tc>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Injection</w:t>
            </w:r>
          </w:p>
        </w:tc>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Remote Code Execution (RCE) / Data Theft</w:t>
            </w:r>
          </w:p>
        </w:tc>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Low (Easy to Automate)</w:t>
            </w:r>
          </w:p>
        </w:tc>
      </w:tr>
      <w:tr>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b/>
                <w:color w:val="333333"/>
                <w:sz w:val="20"/>
              </w:rPr>
              <w:t>A04</w:t>
            </w:r>
          </w:p>
        </w:tc>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Insecure Design</w:t>
            </w:r>
          </w:p>
        </w:tc>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Deep-Rooted Architectural Logic Flaws</w:t>
            </w:r>
          </w:p>
        </w:tc>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High (Requires Manual Review)</w:t>
            </w:r>
          </w:p>
        </w:tc>
      </w:tr>
      <w:tr>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b/>
                <w:color w:val="333333"/>
                <w:sz w:val="20"/>
              </w:rPr>
              <w:t>A05</w:t>
            </w:r>
          </w:p>
        </w:tc>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Security Misconfiguration</w:t>
            </w:r>
          </w:p>
        </w:tc>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Unintended Resource Exposure / Cloud Leaks</w:t>
            </w:r>
          </w:p>
        </w:tc>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Low to Medium</w:t>
            </w:r>
          </w:p>
        </w:tc>
      </w:tr>
      <w:tr>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b/>
                <w:color w:val="333333"/>
                <w:sz w:val="20"/>
              </w:rPr>
              <w:t>A06</w:t>
            </w:r>
          </w:p>
        </w:tc>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Vulnerable &amp; Outdated Components</w:t>
            </w:r>
          </w:p>
        </w:tc>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Supply Chain Compromise / Infrastructure Takeover</w:t>
            </w:r>
          </w:p>
        </w:tc>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Low</w:t>
            </w:r>
          </w:p>
        </w:tc>
      </w:tr>
      <w:tr>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b/>
                <w:color w:val="333333"/>
                <w:sz w:val="20"/>
              </w:rPr>
              <w:t>A07</w:t>
            </w:r>
          </w:p>
        </w:tc>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Identification &amp; Authentication Failures</w:t>
            </w:r>
          </w:p>
        </w:tc>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Account Takeover (ATO) / Credential Stuffing</w:t>
            </w:r>
          </w:p>
        </w:tc>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Medium</w:t>
            </w:r>
          </w:p>
        </w:tc>
      </w:tr>
      <w:tr>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b/>
                <w:color w:val="333333"/>
                <w:sz w:val="20"/>
              </w:rPr>
              <w:t>A08</w:t>
            </w:r>
          </w:p>
        </w:tc>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Software &amp; Data Integrity Failures</w:t>
            </w:r>
          </w:p>
        </w:tc>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CI/CD Pipeline Attacks / Malicious Code Injection</w:t>
            </w:r>
          </w:p>
        </w:tc>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High</w:t>
            </w:r>
          </w:p>
        </w:tc>
      </w:tr>
      <w:tr>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b/>
                <w:color w:val="333333"/>
                <w:sz w:val="20"/>
              </w:rPr>
              <w:t>A09</w:t>
            </w:r>
          </w:p>
        </w:tc>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Security Logging &amp; Monitoring Failures</w:t>
            </w:r>
          </w:p>
        </w:tc>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Delayed Incident Response / Lack of Forensic Evidence</w:t>
            </w:r>
          </w:p>
        </w:tc>
        <w:tc>
          <w:tcPr>
            <w:tcW w:type="dxa" w:w="2340"/>
            <w:tcMar>
              <w:top w:w="120" w:type="dxa"/>
              <w:bottom w:w="120" w:type="dxa"/>
              <w:left w:w="150" w:type="dxa"/>
              <w:right w:w="150" w:type="dxa"/>
            </w:tcMar>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High</w:t>
            </w:r>
          </w:p>
        </w:tc>
      </w:tr>
      <w:tr>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b/>
                <w:color w:val="333333"/>
                <w:sz w:val="20"/>
              </w:rPr>
              <w:t>A10</w:t>
            </w:r>
          </w:p>
        </w:tc>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Server-Side Request Forgery (SSRF)</w:t>
            </w:r>
          </w:p>
        </w:tc>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Internal Infrastructure Reconnaissance</w:t>
            </w:r>
          </w:p>
        </w:tc>
        <w:tc>
          <w:tcPr>
            <w:tcW w:type="dxa" w:w="2340"/>
            <w:tcMar>
              <w:top w:w="120" w:type="dxa"/>
              <w:bottom w:w="120" w:type="dxa"/>
              <w:left w:w="150" w:type="dxa"/>
              <w:right w:w="150" w:type="dxa"/>
            </w:tcMar>
            <w:shd w:fill="F4F6F8"/>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333333"/>
                <w:sz w:val="20"/>
              </w:rPr>
              <w:t>Medium</w:t>
            </w:r>
          </w:p>
        </w:tc>
      </w:tr>
    </w:tbl>
    <w:p>
      <w:pPr>
        <w:spacing w:after="240"/>
      </w:pPr>
    </w:p>
    <w:p>
      <w:pPr>
        <w:keepNext/>
        <w:spacing w:before="360" w:after="120"/>
      </w:pPr>
      <w:r>
        <w:rPr>
          <w:rFonts w:ascii="Arial" w:hAnsi="Arial"/>
          <w:b/>
          <w:color w:val="1B365D"/>
          <w:sz w:val="32"/>
        </w:rPr>
        <w:t>3. Comprehensive Breakdown of Vulnerabilities</w:t>
      </w:r>
    </w:p>
    <w:p>
      <w:pPr>
        <w:keepNext/>
        <w:spacing w:before="240" w:after="80"/>
      </w:pPr>
      <w:r>
        <w:rPr>
          <w:rFonts w:ascii="Arial" w:hAnsi="Arial"/>
          <w:b/>
          <w:color w:val="4A777A"/>
          <w:sz w:val="26"/>
        </w:rPr>
        <w:t>A01: Broken Access Control</w:t>
      </w:r>
    </w:p>
    <w:p>
      <w:pPr>
        <w:spacing w:after="120" w:line="276" w:lineRule="auto"/>
      </w:pPr>
      <w:r>
        <w:rPr>
          <w:rFonts w:ascii="Calibri" w:hAnsi="Calibri"/>
          <w:i w:val="0"/>
          <w:color w:val="333333"/>
          <w:sz w:val="22"/>
        </w:rPr>
        <w:t>Access control ensures that users cannot act outside of their intended permissions. When broken, attackers can access unauthorized data, modify user privileges, or take over administrative functions.</w:t>
      </w:r>
    </w:p>
    <w:p>
      <w:pPr>
        <w:spacing w:after="120" w:line="276" w:lineRule="auto"/>
      </w:pPr>
      <w:r>
        <w:rPr>
          <w:rFonts w:ascii="Calibri" w:hAnsi="Calibri"/>
          <w:b/>
          <w:color w:val="333333"/>
          <w:sz w:val="22"/>
        </w:rPr>
        <w:t xml:space="preserve">Real-World Scenario: </w:t>
      </w:r>
      <w:r>
        <w:rPr>
          <w:rFonts w:ascii="Calibri" w:hAnsi="Calibri"/>
          <w:i/>
          <w:color w:val="333333"/>
          <w:sz w:val="22"/>
        </w:rPr>
        <w:t>A web application displays user profiles via URLs like https://example.com/app/account?id=1001. An attacker alters the id parameter to 1002, bypassing authentication checks to view or edit another user's private financial records.</w:t>
      </w:r>
    </w:p>
    <w:p>
      <w:pPr>
        <w:spacing w:after="120" w:line="276" w:lineRule="auto"/>
      </w:pPr>
      <w:r>
        <w:rPr>
          <w:rFonts w:ascii="Calibri" w:hAnsi="Calibri"/>
          <w:i w:val="0"/>
          <w:color w:val="333333"/>
          <w:sz w:val="22"/>
        </w:rPr>
        <w:t>Prevention Strategies:</w:t>
      </w:r>
    </w:p>
    <w:p>
      <w:pPr>
        <w:pStyle w:val="ListBullet"/>
        <w:spacing w:after="80" w:line="276" w:lineRule="auto"/>
      </w:pPr>
      <w:r>
        <w:rPr>
          <w:rFonts w:ascii="Calibri" w:hAnsi="Calibri"/>
          <w:color w:val="333333"/>
          <w:sz w:val="22"/>
        </w:rPr>
        <w:t>Implement a centralized authorization module relying strictly on server-side state.</w:t>
      </w:r>
    </w:p>
    <w:p>
      <w:pPr>
        <w:pStyle w:val="ListBullet"/>
        <w:spacing w:after="80" w:line="276" w:lineRule="auto"/>
      </w:pPr>
      <w:r>
        <w:rPr>
          <w:rFonts w:ascii="Calibri" w:hAnsi="Calibri"/>
          <w:color w:val="333333"/>
          <w:sz w:val="22"/>
        </w:rPr>
        <w:t>Adopt the principle of Least Privilege; deny access by default (Default Deny).</w:t>
      </w:r>
    </w:p>
    <w:p>
      <w:pPr>
        <w:pStyle w:val="ListBullet"/>
        <w:spacing w:after="80" w:line="276" w:lineRule="auto"/>
      </w:pPr>
      <w:r>
        <w:rPr>
          <w:rFonts w:ascii="Calibri" w:hAnsi="Calibri"/>
          <w:color w:val="333333"/>
          <w:sz w:val="22"/>
        </w:rPr>
        <w:t>Ensure that primary keys or identifiers utilize cryptographically secure UUIDs instead of sequential integers.</w:t>
      </w:r>
    </w:p>
    <w:p>
      <w:pPr>
        <w:keepNext/>
        <w:spacing w:before="240" w:after="80"/>
      </w:pPr>
      <w:r>
        <w:rPr>
          <w:rFonts w:ascii="Arial" w:hAnsi="Arial"/>
          <w:b/>
          <w:color w:val="4A777A"/>
          <w:sz w:val="26"/>
        </w:rPr>
        <w:t>A02: Cryptographic Failures</w:t>
      </w:r>
    </w:p>
    <w:p>
      <w:pPr>
        <w:spacing w:after="120" w:line="276" w:lineRule="auto"/>
      </w:pPr>
      <w:r>
        <w:rPr>
          <w:rFonts w:ascii="Calibri" w:hAnsi="Calibri"/>
          <w:i w:val="0"/>
          <w:color w:val="333333"/>
          <w:sz w:val="22"/>
        </w:rPr>
        <w:t>Previously classified as Sensitive Data Exposure, this focuses on the structural failure to protect data both at rest and in transit, leading to devastating leaks of passwords, health data, and PII.</w:t>
      </w:r>
    </w:p>
    <w:p>
      <w:pPr>
        <w:spacing w:after="120" w:line="276" w:lineRule="auto"/>
      </w:pPr>
      <w:r>
        <w:rPr>
          <w:rFonts w:ascii="Calibri" w:hAnsi="Calibri"/>
          <w:b/>
          <w:color w:val="333333"/>
          <w:sz w:val="22"/>
        </w:rPr>
        <w:t xml:space="preserve">Real-World Scenario: </w:t>
      </w:r>
      <w:r>
        <w:rPr>
          <w:rFonts w:ascii="Calibri" w:hAnsi="Calibri"/>
          <w:i/>
          <w:color w:val="333333"/>
          <w:sz w:val="22"/>
        </w:rPr>
        <w:t>An e-commerce platform stores user passwords using the outdated and unsalted MD5 hashing algorithm. A database leak allows attackers to instantly reverse the hashes using precomputed rainbow tables.</w:t>
      </w:r>
    </w:p>
    <w:p>
      <w:pPr>
        <w:spacing w:after="120" w:line="276" w:lineRule="auto"/>
      </w:pPr>
      <w:r>
        <w:rPr>
          <w:rFonts w:ascii="Calibri" w:hAnsi="Calibri"/>
          <w:i w:val="0"/>
          <w:color w:val="333333"/>
          <w:sz w:val="22"/>
        </w:rPr>
        <w:t>Prevention Strategies:</w:t>
      </w:r>
    </w:p>
    <w:p>
      <w:pPr>
        <w:pStyle w:val="ListBullet"/>
        <w:spacing w:after="80" w:line="276" w:lineRule="auto"/>
      </w:pPr>
      <w:r>
        <w:rPr>
          <w:rFonts w:ascii="Calibri" w:hAnsi="Calibri"/>
          <w:color w:val="333333"/>
          <w:sz w:val="22"/>
        </w:rPr>
        <w:t>Encrypt all data in transit using up-to-date protocols like TLS 1.3.</w:t>
      </w:r>
    </w:p>
    <w:p>
      <w:pPr>
        <w:pStyle w:val="ListBullet"/>
        <w:spacing w:after="80" w:line="276" w:lineRule="auto"/>
      </w:pPr>
      <w:r>
        <w:rPr>
          <w:rFonts w:ascii="Calibri" w:hAnsi="Calibri"/>
          <w:color w:val="333333"/>
          <w:sz w:val="22"/>
        </w:rPr>
        <w:t>Hash passwords using modern, adaptive algorithms such as Argon2id or bcrypt.</w:t>
      </w:r>
    </w:p>
    <w:p>
      <w:pPr>
        <w:pStyle w:val="ListBullet"/>
        <w:spacing w:after="80" w:line="276" w:lineRule="auto"/>
      </w:pPr>
      <w:r>
        <w:rPr>
          <w:rFonts w:ascii="Calibri" w:hAnsi="Calibri"/>
          <w:color w:val="333333"/>
          <w:sz w:val="22"/>
        </w:rPr>
        <w:t>Disable fallback protocols and legacy cryptographic functions (e.g., Triple DES, MD5, SHA-1).</w:t>
      </w:r>
    </w:p>
    <w:p>
      <w:pPr>
        <w:keepNext/>
        <w:spacing w:before="240" w:after="80"/>
      </w:pPr>
      <w:r>
        <w:rPr>
          <w:rFonts w:ascii="Arial" w:hAnsi="Arial"/>
          <w:b/>
          <w:color w:val="4A777A"/>
          <w:sz w:val="26"/>
        </w:rPr>
        <w:t>A03: Injection</w:t>
      </w:r>
    </w:p>
    <w:p>
      <w:pPr>
        <w:spacing w:after="120" w:line="276" w:lineRule="auto"/>
      </w:pPr>
      <w:r>
        <w:rPr>
          <w:rFonts w:ascii="Calibri" w:hAnsi="Calibri"/>
          <w:i w:val="0"/>
          <w:color w:val="333333"/>
          <w:sz w:val="22"/>
        </w:rPr>
        <w:t>Injection occurs when untrusted user input is passed directly to an interpreter as part of a command or query. The interpreter executes the malicious string, granting unauthorized data access or system-level command execution.</w:t>
      </w:r>
    </w:p>
    <w:p>
      <w:pPr>
        <w:spacing w:after="120" w:line="276" w:lineRule="auto"/>
      </w:pPr>
      <w:r>
        <w:rPr>
          <w:rFonts w:ascii="Calibri" w:hAnsi="Calibri"/>
          <w:b/>
          <w:color w:val="333333"/>
          <w:sz w:val="22"/>
        </w:rPr>
        <w:t xml:space="preserve">Real-World Scenario: </w:t>
      </w:r>
      <w:r>
        <w:rPr>
          <w:rFonts w:ascii="Calibri" w:hAnsi="Calibri"/>
          <w:i/>
          <w:color w:val="333333"/>
          <w:sz w:val="22"/>
        </w:rPr>
        <w:t>A login form takes input directly into a SQL command string: SELECT * FROM users WHERE username = ' + input + '; An attacker inputs ' OR '1'='1, changing the statement logic to true and bypassing authentication without a password.</w:t>
      </w:r>
    </w:p>
    <w:p>
      <w:pPr>
        <w:spacing w:after="120" w:line="276" w:lineRule="auto"/>
      </w:pPr>
      <w:r>
        <w:rPr>
          <w:rFonts w:ascii="Calibri" w:hAnsi="Calibri"/>
          <w:i w:val="0"/>
          <w:color w:val="333333"/>
          <w:sz w:val="22"/>
        </w:rPr>
        <w:t>Prevention Strategies:</w:t>
      </w:r>
    </w:p>
    <w:p>
      <w:pPr>
        <w:pStyle w:val="ListBullet"/>
        <w:spacing w:after="80" w:line="276" w:lineRule="auto"/>
      </w:pPr>
      <w:r>
        <w:rPr>
          <w:rFonts w:ascii="Calibri" w:hAnsi="Calibri"/>
          <w:color w:val="333333"/>
          <w:sz w:val="22"/>
        </w:rPr>
        <w:t>Use parameterized queries (Prepared Statements) for all database operations.</w:t>
      </w:r>
    </w:p>
    <w:p>
      <w:pPr>
        <w:pStyle w:val="ListBullet"/>
        <w:spacing w:after="80" w:line="276" w:lineRule="auto"/>
      </w:pPr>
      <w:r>
        <w:rPr>
          <w:rFonts w:ascii="Calibri" w:hAnsi="Calibri"/>
          <w:color w:val="333333"/>
          <w:sz w:val="22"/>
        </w:rPr>
        <w:t>Enforce strict server-side context-aware input validation using allowlists.</w:t>
      </w:r>
    </w:p>
    <w:p>
      <w:pPr>
        <w:pStyle w:val="ListBullet"/>
        <w:spacing w:after="80" w:line="276" w:lineRule="auto"/>
      </w:pPr>
      <w:r>
        <w:rPr>
          <w:rFonts w:ascii="Calibri" w:hAnsi="Calibri"/>
          <w:color w:val="333333"/>
          <w:sz w:val="22"/>
        </w:rPr>
        <w:t>Leverage safe, modern APIs that inherently avoid using an interpreter interface.</w:t>
      </w:r>
    </w:p>
    <w:p>
      <w:pPr>
        <w:keepNext/>
        <w:spacing w:before="240" w:after="80"/>
      </w:pPr>
      <w:r>
        <w:rPr>
          <w:rFonts w:ascii="Arial" w:hAnsi="Arial"/>
          <w:b/>
          <w:color w:val="4A777A"/>
          <w:sz w:val="26"/>
        </w:rPr>
        <w:t>A04: Insecure Design</w:t>
      </w:r>
    </w:p>
    <w:p>
      <w:pPr>
        <w:spacing w:after="120" w:line="276" w:lineRule="auto"/>
      </w:pPr>
      <w:r>
        <w:rPr>
          <w:rFonts w:ascii="Calibri" w:hAnsi="Calibri"/>
          <w:i w:val="0"/>
          <w:color w:val="333333"/>
          <w:sz w:val="22"/>
        </w:rPr>
        <w:t>Unlike implementation bugs, Insecure Design refers to missing or fundamentally flawed architectural patterns. If an application is designed poorly, even perfect code writing cannot fix its inherent risks.</w:t>
      </w:r>
    </w:p>
    <w:p>
      <w:pPr>
        <w:spacing w:after="120" w:line="276" w:lineRule="auto"/>
      </w:pPr>
      <w:r>
        <w:rPr>
          <w:rFonts w:ascii="Calibri" w:hAnsi="Calibri"/>
          <w:b/>
          <w:color w:val="333333"/>
          <w:sz w:val="22"/>
        </w:rPr>
        <w:t xml:space="preserve">Real-World Scenario: </w:t>
      </w:r>
      <w:r>
        <w:rPr>
          <w:rFonts w:ascii="Calibri" w:hAnsi="Calibri"/>
          <w:i/>
          <w:color w:val="333333"/>
          <w:sz w:val="22"/>
        </w:rPr>
        <w:t>A banking app implements a multi-step checkout process. Step 1 selects items, Step 2 processes payment, and Step 3 fulfills the order. The application fails to verify on the server side that Step 2 was completed before moving a user to Step 3, allowing users to skip payments entirely by navigating directly to the final URL.</w:t>
      </w:r>
    </w:p>
    <w:p>
      <w:pPr>
        <w:spacing w:after="120" w:line="276" w:lineRule="auto"/>
      </w:pPr>
      <w:r>
        <w:rPr>
          <w:rFonts w:ascii="Calibri" w:hAnsi="Calibri"/>
          <w:i w:val="0"/>
          <w:color w:val="333333"/>
          <w:sz w:val="22"/>
        </w:rPr>
        <w:t>Prevention Strategies:</w:t>
      </w:r>
    </w:p>
    <w:p>
      <w:pPr>
        <w:pStyle w:val="ListBullet"/>
        <w:spacing w:after="80" w:line="276" w:lineRule="auto"/>
      </w:pPr>
      <w:r>
        <w:rPr>
          <w:rFonts w:ascii="Calibri" w:hAnsi="Calibri"/>
          <w:color w:val="333333"/>
          <w:sz w:val="22"/>
        </w:rPr>
        <w:t>Incorporate Threat Modeling into the early stages of the Software Development Life Cycle (SDLC).</w:t>
      </w:r>
    </w:p>
    <w:p>
      <w:pPr>
        <w:pStyle w:val="ListBullet"/>
        <w:spacing w:after="80" w:line="276" w:lineRule="auto"/>
      </w:pPr>
      <w:r>
        <w:rPr>
          <w:rFonts w:ascii="Calibri" w:hAnsi="Calibri"/>
          <w:color w:val="333333"/>
          <w:sz w:val="22"/>
        </w:rPr>
        <w:t>Utilize pre-vetted secure design patterns and reference architectures.</w:t>
      </w:r>
    </w:p>
    <w:p>
      <w:pPr>
        <w:pStyle w:val="ListBullet"/>
        <w:spacing w:after="80" w:line="276" w:lineRule="auto"/>
      </w:pPr>
      <w:r>
        <w:rPr>
          <w:rFonts w:ascii="Calibri" w:hAnsi="Calibri"/>
          <w:color w:val="333333"/>
          <w:sz w:val="22"/>
        </w:rPr>
        <w:t>Separate business logic completely from front-end navigation states.</w:t>
      </w:r>
    </w:p>
    <w:p>
      <w:pPr>
        <w:keepNext/>
        <w:spacing w:before="240" w:after="80"/>
      </w:pPr>
      <w:r>
        <w:rPr>
          <w:rFonts w:ascii="Arial" w:hAnsi="Arial"/>
          <w:b/>
          <w:color w:val="4A777A"/>
          <w:sz w:val="26"/>
        </w:rPr>
        <w:t>A05: Security Misconfiguration</w:t>
      </w:r>
    </w:p>
    <w:p>
      <w:pPr>
        <w:spacing w:after="120" w:line="276" w:lineRule="auto"/>
      </w:pPr>
      <w:r>
        <w:rPr>
          <w:rFonts w:ascii="Calibri" w:hAnsi="Calibri"/>
          <w:i w:val="0"/>
          <w:color w:val="333333"/>
          <w:sz w:val="22"/>
        </w:rPr>
        <w:t>This category covers systemic administrative errors, such as deploying default settings, keeping unnecessary features active, or improperly defining cloud environment permissions.</w:t>
      </w:r>
    </w:p>
    <w:p>
      <w:pPr>
        <w:spacing w:after="120" w:line="276" w:lineRule="auto"/>
      </w:pPr>
      <w:r>
        <w:rPr>
          <w:rFonts w:ascii="Calibri" w:hAnsi="Calibri"/>
          <w:b/>
          <w:color w:val="333333"/>
          <w:sz w:val="22"/>
        </w:rPr>
        <w:t xml:space="preserve">Real-World Scenario: </w:t>
      </w:r>
      <w:r>
        <w:rPr>
          <w:rFonts w:ascii="Calibri" w:hAnsi="Calibri"/>
          <w:i/>
          <w:color w:val="333333"/>
          <w:sz w:val="22"/>
        </w:rPr>
        <w:t>A cloud-native application is deployed with an Amazon S3 bucket storing user invoices. The cloud policy is accidentally left on Public-Read, allowing any web scraper to automate downloading every invoice.</w:t>
      </w:r>
    </w:p>
    <w:p>
      <w:pPr>
        <w:spacing w:after="120" w:line="276" w:lineRule="auto"/>
      </w:pPr>
      <w:r>
        <w:rPr>
          <w:rFonts w:ascii="Calibri" w:hAnsi="Calibri"/>
          <w:i w:val="0"/>
          <w:color w:val="333333"/>
          <w:sz w:val="22"/>
        </w:rPr>
        <w:t>Prevention Strategies:</w:t>
      </w:r>
    </w:p>
    <w:p>
      <w:pPr>
        <w:pStyle w:val="ListBullet"/>
        <w:spacing w:after="80" w:line="276" w:lineRule="auto"/>
      </w:pPr>
      <w:r>
        <w:rPr>
          <w:rFonts w:ascii="Calibri" w:hAnsi="Calibri"/>
          <w:color w:val="333333"/>
          <w:sz w:val="22"/>
        </w:rPr>
        <w:t>Harden environments by removing unused frameworks, components, and sample apps.</w:t>
      </w:r>
    </w:p>
    <w:p>
      <w:pPr>
        <w:pStyle w:val="ListBullet"/>
        <w:spacing w:after="80" w:line="276" w:lineRule="auto"/>
      </w:pPr>
      <w:r>
        <w:rPr>
          <w:rFonts w:ascii="Calibri" w:hAnsi="Calibri"/>
          <w:color w:val="333333"/>
          <w:sz w:val="22"/>
        </w:rPr>
        <w:t>Automate deployment verification via Infrastructure as Code (IaC) templates checked against static analysis.</w:t>
      </w:r>
    </w:p>
    <w:p>
      <w:pPr>
        <w:pStyle w:val="ListBullet"/>
        <w:spacing w:after="80" w:line="276" w:lineRule="auto"/>
      </w:pPr>
      <w:r>
        <w:rPr>
          <w:rFonts w:ascii="Calibri" w:hAnsi="Calibri"/>
          <w:color w:val="333333"/>
          <w:sz w:val="22"/>
        </w:rPr>
        <w:t>Ensure error messages sent to clients are generic, preventing verbose stack traces from leaking internal path structures.</w:t>
      </w:r>
    </w:p>
    <w:p>
      <w:pPr>
        <w:keepNext/>
        <w:spacing w:before="240" w:after="80"/>
      </w:pPr>
      <w:r>
        <w:rPr>
          <w:rFonts w:ascii="Arial" w:hAnsi="Arial"/>
          <w:b/>
          <w:color w:val="4A777A"/>
          <w:sz w:val="26"/>
        </w:rPr>
        <w:t>A06: Vulnerable and Outdated Components</w:t>
      </w:r>
    </w:p>
    <w:p>
      <w:pPr>
        <w:spacing w:after="120" w:line="276" w:lineRule="auto"/>
      </w:pPr>
      <w:r>
        <w:rPr>
          <w:rFonts w:ascii="Calibri" w:hAnsi="Calibri"/>
          <w:i w:val="0"/>
          <w:color w:val="333333"/>
          <w:sz w:val="22"/>
        </w:rPr>
        <w:t>Modern software relies heavily on open-source ecosystems. If your codebase includes underlying packages, libraries, or frameworks with public CVEs, your system becomes an open target.</w:t>
      </w:r>
    </w:p>
    <w:p>
      <w:pPr>
        <w:spacing w:after="120" w:line="276" w:lineRule="auto"/>
      </w:pPr>
      <w:r>
        <w:rPr>
          <w:rFonts w:ascii="Calibri" w:hAnsi="Calibri"/>
          <w:b/>
          <w:color w:val="333333"/>
          <w:sz w:val="22"/>
        </w:rPr>
        <w:t xml:space="preserve">Real-World Scenario: </w:t>
      </w:r>
      <w:r>
        <w:rPr>
          <w:rFonts w:ascii="Calibri" w:hAnsi="Calibri"/>
          <w:i/>
          <w:color w:val="333333"/>
          <w:sz w:val="22"/>
        </w:rPr>
        <w:t>An enterprise web platform relies on an outdated version of a logging library containing a known remote code execution vulnerability (similar to the historic Log4Shell bug). An attacker fires a specific payload string into a user-agent header, forcing the server to fetch and execute a malicious payload.</w:t>
      </w:r>
    </w:p>
    <w:p>
      <w:pPr>
        <w:spacing w:after="120" w:line="276" w:lineRule="auto"/>
      </w:pPr>
      <w:r>
        <w:rPr>
          <w:rFonts w:ascii="Calibri" w:hAnsi="Calibri"/>
          <w:i w:val="0"/>
          <w:color w:val="333333"/>
          <w:sz w:val="22"/>
        </w:rPr>
        <w:t>Prevention Strategies:</w:t>
      </w:r>
    </w:p>
    <w:p>
      <w:pPr>
        <w:pStyle w:val="ListBullet"/>
        <w:spacing w:after="80" w:line="276" w:lineRule="auto"/>
      </w:pPr>
      <w:r>
        <w:rPr>
          <w:rFonts w:ascii="Calibri" w:hAnsi="Calibri"/>
          <w:color w:val="333333"/>
          <w:sz w:val="22"/>
        </w:rPr>
        <w:t>Implement Software Bill of Materials (SBOM) visibility across all assets.</w:t>
      </w:r>
    </w:p>
    <w:p>
      <w:pPr>
        <w:pStyle w:val="ListBullet"/>
        <w:spacing w:after="80" w:line="276" w:lineRule="auto"/>
      </w:pPr>
      <w:r>
        <w:rPr>
          <w:rFonts w:ascii="Calibri" w:hAnsi="Calibri"/>
          <w:color w:val="333333"/>
          <w:sz w:val="22"/>
        </w:rPr>
        <w:t>Integrate automated Software Composition Analysis (SCA) tools into the CI/CD pipeline.</w:t>
      </w:r>
    </w:p>
    <w:p>
      <w:pPr>
        <w:pStyle w:val="ListBullet"/>
        <w:spacing w:after="80" w:line="276" w:lineRule="auto"/>
      </w:pPr>
      <w:r>
        <w:rPr>
          <w:rFonts w:ascii="Calibri" w:hAnsi="Calibri"/>
          <w:color w:val="333333"/>
          <w:sz w:val="22"/>
        </w:rPr>
        <w:t>Establish a rapid patch management workflow to immediately isolate or update deprecated components.</w:t>
      </w:r>
    </w:p>
    <w:p>
      <w:pPr>
        <w:keepNext/>
        <w:spacing w:before="240" w:after="80"/>
      </w:pPr>
      <w:r>
        <w:rPr>
          <w:rFonts w:ascii="Arial" w:hAnsi="Arial"/>
          <w:b/>
          <w:color w:val="4A777A"/>
          <w:sz w:val="26"/>
        </w:rPr>
        <w:t>A07: Identification and Authentication Failures</w:t>
      </w:r>
    </w:p>
    <w:p>
      <w:pPr>
        <w:spacing w:after="120" w:line="276" w:lineRule="auto"/>
      </w:pPr>
      <w:r>
        <w:rPr>
          <w:rFonts w:ascii="Calibri" w:hAnsi="Calibri"/>
          <w:i w:val="0"/>
          <w:color w:val="333333"/>
          <w:sz w:val="22"/>
        </w:rPr>
        <w:t>Weaknesses in identifying a user's true identity open applications up to credential stuffing, brute-force, and session hijacking attacks.</w:t>
      </w:r>
    </w:p>
    <w:p>
      <w:pPr>
        <w:spacing w:after="120" w:line="276" w:lineRule="auto"/>
      </w:pPr>
      <w:r>
        <w:rPr>
          <w:rFonts w:ascii="Calibri" w:hAnsi="Calibri"/>
          <w:b/>
          <w:color w:val="333333"/>
          <w:sz w:val="22"/>
        </w:rPr>
        <w:t xml:space="preserve">Real-World Scenario: </w:t>
      </w:r>
      <w:r>
        <w:rPr>
          <w:rFonts w:ascii="Calibri" w:hAnsi="Calibri"/>
          <w:i/>
          <w:color w:val="333333"/>
          <w:sz w:val="22"/>
        </w:rPr>
        <w:t>A web platform allows users to choose weak passwords (e.g., password123) and does not enforce rate limiting. Automated botnets leverage thousands of proxy IPs to perform credential stuffing against user accounts unnoticed.</w:t>
      </w:r>
    </w:p>
    <w:p>
      <w:pPr>
        <w:spacing w:after="120" w:line="276" w:lineRule="auto"/>
      </w:pPr>
      <w:r>
        <w:rPr>
          <w:rFonts w:ascii="Calibri" w:hAnsi="Calibri"/>
          <w:i w:val="0"/>
          <w:color w:val="333333"/>
          <w:sz w:val="22"/>
        </w:rPr>
        <w:t>Prevention Strategies:</w:t>
      </w:r>
    </w:p>
    <w:p>
      <w:pPr>
        <w:pStyle w:val="ListBullet"/>
        <w:spacing w:after="80" w:line="276" w:lineRule="auto"/>
      </w:pPr>
      <w:r>
        <w:rPr>
          <w:rFonts w:ascii="Calibri" w:hAnsi="Calibri"/>
          <w:color w:val="333333"/>
          <w:sz w:val="22"/>
        </w:rPr>
        <w:t>Enforce mandatory multi-factor authentication (MFA) for all external accounts.</w:t>
      </w:r>
    </w:p>
    <w:p>
      <w:pPr>
        <w:pStyle w:val="ListBullet"/>
        <w:spacing w:after="80" w:line="276" w:lineRule="auto"/>
      </w:pPr>
      <w:r>
        <w:rPr>
          <w:rFonts w:ascii="Calibri" w:hAnsi="Calibri"/>
          <w:color w:val="333333"/>
          <w:sz w:val="22"/>
        </w:rPr>
        <w:t>Implement strict password complexity and lengths, checking inputs against known breached password lists (e.g., Have I Been Pwned API).</w:t>
      </w:r>
    </w:p>
    <w:p>
      <w:pPr>
        <w:pStyle w:val="ListBullet"/>
        <w:spacing w:after="80" w:line="276" w:lineRule="auto"/>
      </w:pPr>
      <w:r>
        <w:rPr>
          <w:rFonts w:ascii="Calibri" w:hAnsi="Calibri"/>
          <w:color w:val="333333"/>
          <w:sz w:val="22"/>
        </w:rPr>
        <w:t>Build strict rate limiting on all login, registration, and password recovery endpoints.</w:t>
      </w:r>
    </w:p>
    <w:p>
      <w:pPr>
        <w:keepNext/>
        <w:spacing w:before="240" w:after="80"/>
      </w:pPr>
      <w:r>
        <w:rPr>
          <w:rFonts w:ascii="Arial" w:hAnsi="Arial"/>
          <w:b/>
          <w:color w:val="4A777A"/>
          <w:sz w:val="26"/>
        </w:rPr>
        <w:t>A08: Software and Data Integrity Failures</w:t>
      </w:r>
    </w:p>
    <w:p>
      <w:pPr>
        <w:spacing w:after="120" w:line="276" w:lineRule="auto"/>
      </w:pPr>
      <w:r>
        <w:rPr>
          <w:rFonts w:ascii="Calibri" w:hAnsi="Calibri"/>
          <w:i w:val="0"/>
          <w:color w:val="333333"/>
          <w:sz w:val="22"/>
        </w:rPr>
        <w:t>This category focuses on code and infrastructure updates deployed without integrity verification. This includes trusting third-party auto-updates blindly and, crucially, vulnerabilities inside the CI/CD development pipeline (e.g., insecure GitHub Actions configs, unverified build scripts).</w:t>
      </w:r>
    </w:p>
    <w:p>
      <w:pPr>
        <w:spacing w:after="120" w:line="276" w:lineRule="auto"/>
      </w:pPr>
      <w:r>
        <w:rPr>
          <w:rFonts w:ascii="Calibri" w:hAnsi="Calibri"/>
          <w:b/>
          <w:color w:val="333333"/>
          <w:sz w:val="22"/>
        </w:rPr>
        <w:t xml:space="preserve">Real-World Scenario: </w:t>
      </w:r>
      <w:r>
        <w:rPr>
          <w:rFonts w:ascii="Calibri" w:hAnsi="Calibri"/>
          <w:i/>
          <w:color w:val="333333"/>
          <w:sz w:val="22"/>
        </w:rPr>
        <w:t>An attacker compromises a developer's weak access tokens and modifies a build step in the continuous integration pipeline. The malicious build script injects a backdoor into the production software artifact during compilation, compromising thousands of end-users downstream.</w:t>
      </w:r>
    </w:p>
    <w:p>
      <w:pPr>
        <w:spacing w:after="120" w:line="276" w:lineRule="auto"/>
      </w:pPr>
      <w:r>
        <w:rPr>
          <w:rFonts w:ascii="Calibri" w:hAnsi="Calibri"/>
          <w:i w:val="0"/>
          <w:color w:val="333333"/>
          <w:sz w:val="22"/>
        </w:rPr>
        <w:t>Prevention Strategies:</w:t>
      </w:r>
    </w:p>
    <w:p>
      <w:pPr>
        <w:pStyle w:val="ListBullet"/>
        <w:spacing w:after="80" w:line="276" w:lineRule="auto"/>
      </w:pPr>
      <w:r>
        <w:rPr>
          <w:rFonts w:ascii="Calibri" w:hAnsi="Calibri"/>
          <w:color w:val="333333"/>
          <w:sz w:val="22"/>
        </w:rPr>
        <w:t>Implement digital signatures or cryptographic checksums (hashes) to verify the integrity of all incoming artifacts, plugins, and updates.</w:t>
      </w:r>
    </w:p>
    <w:p>
      <w:pPr>
        <w:pStyle w:val="ListBullet"/>
        <w:spacing w:after="80" w:line="276" w:lineRule="auto"/>
      </w:pPr>
      <w:r>
        <w:rPr>
          <w:rFonts w:ascii="Calibri" w:hAnsi="Calibri"/>
          <w:color w:val="333333"/>
          <w:sz w:val="22"/>
        </w:rPr>
        <w:t>Secure the CI/CD pipeline infrastructure with strict code review standards (e.g., branch protection rules requiring multiple approvals).</w:t>
      </w:r>
    </w:p>
    <w:p>
      <w:pPr>
        <w:pStyle w:val="ListBullet"/>
        <w:spacing w:after="80" w:line="276" w:lineRule="auto"/>
      </w:pPr>
      <w:r>
        <w:rPr>
          <w:rFonts w:ascii="Calibri" w:hAnsi="Calibri"/>
          <w:color w:val="333333"/>
          <w:sz w:val="22"/>
        </w:rPr>
        <w:t>Avoid raw object deserialization from untrusted sources without robust data validation.</w:t>
      </w:r>
    </w:p>
    <w:p>
      <w:pPr>
        <w:keepNext/>
        <w:spacing w:before="240" w:after="80"/>
      </w:pPr>
      <w:r>
        <w:rPr>
          <w:rFonts w:ascii="Arial" w:hAnsi="Arial"/>
          <w:b/>
          <w:color w:val="4A777A"/>
          <w:sz w:val="26"/>
        </w:rPr>
        <w:t>A09: Security Logging and Monitoring Failures</w:t>
      </w:r>
    </w:p>
    <w:p>
      <w:pPr>
        <w:spacing w:after="120" w:line="276" w:lineRule="auto"/>
      </w:pPr>
      <w:r>
        <w:rPr>
          <w:rFonts w:ascii="Calibri" w:hAnsi="Calibri"/>
          <w:i w:val="0"/>
          <w:color w:val="333333"/>
          <w:sz w:val="22"/>
        </w:rPr>
        <w:t>Without adequate logging and active monitoring, breaches go unnoticed for months, preventing incident response and forensic isolation.</w:t>
      </w:r>
    </w:p>
    <w:p>
      <w:pPr>
        <w:spacing w:after="120" w:line="276" w:lineRule="auto"/>
      </w:pPr>
      <w:r>
        <w:rPr>
          <w:rFonts w:ascii="Calibri" w:hAnsi="Calibri"/>
          <w:b/>
          <w:color w:val="333333"/>
          <w:sz w:val="22"/>
        </w:rPr>
        <w:t xml:space="preserve">Real-World Scenario: </w:t>
      </w:r>
      <w:r>
        <w:rPr>
          <w:rFonts w:ascii="Calibri" w:hAnsi="Calibri"/>
          <w:i/>
          <w:color w:val="333333"/>
          <w:sz w:val="22"/>
        </w:rPr>
        <w:t>An attacker slowly brute-forces admin accounts over three weeks. Because the application logs failed login attempts into transient storage that overwrites itself every 24 hours, the security team is completely blind to the reconnaissance phase until data exfiltration occurs.</w:t>
      </w:r>
    </w:p>
    <w:p>
      <w:pPr>
        <w:spacing w:after="120" w:line="276" w:lineRule="auto"/>
      </w:pPr>
      <w:r>
        <w:rPr>
          <w:rFonts w:ascii="Calibri" w:hAnsi="Calibri"/>
          <w:i w:val="0"/>
          <w:color w:val="333333"/>
          <w:sz w:val="22"/>
        </w:rPr>
        <w:t>Prevention Strategies:</w:t>
      </w:r>
    </w:p>
    <w:p>
      <w:pPr>
        <w:pStyle w:val="ListBullet"/>
        <w:spacing w:after="80" w:line="276" w:lineRule="auto"/>
      </w:pPr>
      <w:r>
        <w:rPr>
          <w:rFonts w:ascii="Calibri" w:hAnsi="Calibri"/>
          <w:color w:val="333333"/>
          <w:sz w:val="22"/>
        </w:rPr>
        <w:t>Log all authentication failures, access control anomalies, and server-side validation errors with sufficient user context.</w:t>
      </w:r>
    </w:p>
    <w:p>
      <w:pPr>
        <w:pStyle w:val="ListBullet"/>
        <w:spacing w:after="80" w:line="276" w:lineRule="auto"/>
      </w:pPr>
      <w:r>
        <w:rPr>
          <w:rFonts w:ascii="Calibri" w:hAnsi="Calibri"/>
          <w:color w:val="333333"/>
          <w:sz w:val="22"/>
        </w:rPr>
        <w:t>Stream logs directly to a centralized, write-only Security Information and Event Management (SIEM) platform.</w:t>
      </w:r>
    </w:p>
    <w:p>
      <w:pPr>
        <w:pStyle w:val="ListBullet"/>
        <w:spacing w:after="80" w:line="276" w:lineRule="auto"/>
      </w:pPr>
      <w:r>
        <w:rPr>
          <w:rFonts w:ascii="Calibri" w:hAnsi="Calibri"/>
          <w:color w:val="333333"/>
          <w:sz w:val="22"/>
        </w:rPr>
        <w:t>Establish automated alerting thresholds to notify incident response teams of suspicious anomalies in real time.</w:t>
      </w:r>
    </w:p>
    <w:p>
      <w:pPr>
        <w:keepNext/>
        <w:spacing w:before="240" w:after="80"/>
      </w:pPr>
      <w:r>
        <w:rPr>
          <w:rFonts w:ascii="Arial" w:hAnsi="Arial"/>
          <w:b/>
          <w:color w:val="4A777A"/>
          <w:sz w:val="26"/>
        </w:rPr>
        <w:t>A10: Server-Side Request Forgery (SSRF)</w:t>
      </w:r>
    </w:p>
    <w:p>
      <w:pPr>
        <w:spacing w:after="120" w:line="276" w:lineRule="auto"/>
      </w:pPr>
      <w:r>
        <w:rPr>
          <w:rFonts w:ascii="Calibri" w:hAnsi="Calibri"/>
          <w:i w:val="0"/>
          <w:color w:val="333333"/>
          <w:sz w:val="22"/>
        </w:rPr>
        <w:t>SSRF occurs when a web application fetches a remote resource based on a user-supplied URL without validating the destination. This allows attackers to coerce the application server into attacking internal infrastructure that sits safely behind a firewall.</w:t>
      </w:r>
    </w:p>
    <w:p>
      <w:pPr>
        <w:spacing w:after="120" w:line="276" w:lineRule="auto"/>
      </w:pPr>
      <w:r>
        <w:rPr>
          <w:rFonts w:ascii="Calibri" w:hAnsi="Calibri"/>
          <w:b/>
          <w:color w:val="333333"/>
          <w:sz w:val="22"/>
        </w:rPr>
        <w:t xml:space="preserve">Real-World Scenario: </w:t>
      </w:r>
      <w:r>
        <w:rPr>
          <w:rFonts w:ascii="Calibri" w:hAnsi="Calibri"/>
          <w:i/>
          <w:color w:val="333333"/>
          <w:sz w:val="22"/>
        </w:rPr>
        <w:t>A profile setup wizard allows users to provide an image URL to import an avatar. An attacker inputs the internal cloud metadata address: http://169.254.169.254/latest/meta-data/iam/security-credentials/. The backend server fetches the URL and outputs cloud administrative credentials back to the attacker.</w:t>
      </w:r>
    </w:p>
    <w:p>
      <w:pPr>
        <w:spacing w:after="120" w:line="276" w:lineRule="auto"/>
      </w:pPr>
      <w:r>
        <w:rPr>
          <w:rFonts w:ascii="Calibri" w:hAnsi="Calibri"/>
          <w:i w:val="0"/>
          <w:color w:val="333333"/>
          <w:sz w:val="22"/>
        </w:rPr>
        <w:t>Prevention Strategies:</w:t>
      </w:r>
    </w:p>
    <w:p>
      <w:pPr>
        <w:pStyle w:val="ListBullet"/>
        <w:spacing w:after="80" w:line="276" w:lineRule="auto"/>
      </w:pPr>
      <w:r>
        <w:rPr>
          <w:rFonts w:ascii="Calibri" w:hAnsi="Calibri"/>
          <w:color w:val="333333"/>
          <w:sz w:val="22"/>
        </w:rPr>
        <w:t>Enforce a strict, validated network allowlist for any outbound requests initiated by user input.</w:t>
      </w:r>
    </w:p>
    <w:p>
      <w:pPr>
        <w:pStyle w:val="ListBullet"/>
        <w:spacing w:after="80" w:line="276" w:lineRule="auto"/>
      </w:pPr>
      <w:r>
        <w:rPr>
          <w:rFonts w:ascii="Calibri" w:hAnsi="Calibri"/>
          <w:color w:val="333333"/>
          <w:sz w:val="22"/>
        </w:rPr>
        <w:t>Isolate the application server from internal management networks or metadata services using firewalls and VPC controls.</w:t>
      </w:r>
    </w:p>
    <w:p>
      <w:pPr>
        <w:pStyle w:val="ListBullet"/>
        <w:spacing w:after="80" w:line="276" w:lineRule="auto"/>
      </w:pPr>
      <w:r>
        <w:rPr>
          <w:rFonts w:ascii="Calibri" w:hAnsi="Calibri"/>
          <w:color w:val="333333"/>
          <w:sz w:val="22"/>
        </w:rPr>
        <w:t>Do not return raw server-side request responses directly to the client browser.</w:t>
      </w:r>
    </w:p>
    <w:p>
      <w:pPr>
        <w:keepNext/>
        <w:spacing w:before="360" w:after="120"/>
      </w:pPr>
      <w:r>
        <w:rPr>
          <w:rFonts w:ascii="Arial" w:hAnsi="Arial"/>
          <w:b/>
          <w:color w:val="1B365D"/>
          <w:sz w:val="32"/>
        </w:rPr>
        <w:t>4. Engineering Verification and Auditing Framework</w:t>
      </w:r>
    </w:p>
    <w:p>
      <w:pPr>
        <w:spacing w:after="120" w:line="276" w:lineRule="auto"/>
      </w:pPr>
      <w:r>
        <w:rPr>
          <w:rFonts w:ascii="Calibri" w:hAnsi="Calibri"/>
          <w:i w:val="0"/>
          <w:color w:val="333333"/>
          <w:sz w:val="22"/>
        </w:rPr>
        <w:t>To effectively apply the OWASP Top 10 in a professional security setting, organizations utilize a structured testing lifecycle combining automated and manual paradigms:</w:t>
      </w:r>
    </w:p>
    <w:p>
      <w:pPr>
        <w:spacing w:before="120" w:after="120"/>
        <w:ind w:left="360"/>
      </w:pPr>
      <w:r>
        <w:rPr>
          <w:rFonts w:ascii="Consolas" w:hAnsi="Consolas"/>
          <w:color w:val="4A777A"/>
          <w:sz w:val="19"/>
        </w:rPr>
        <w:t>[SDLC Phase: Design]      --&gt; Threat Modeling &amp; Architecture Review (Addresses A04)</w:t>
        <w:br/>
        <w:t>[SDLC Phase: Development] --&gt; Static Application Security Testing (SAST) &amp; SCA (Addresses A03, A06)</w:t>
        <w:br/>
        <w:t>[SDLC Phase: Build/CI]    --&gt; Pipeline Security Auditing &amp; Checksum Validation (Addresses A08)</w:t>
        <w:br/>
        <w:t>[SDLC Phase: Runtime]     --&gt; Dynamic Testing (DAST), WAF Deployment &amp; SIEM (Addresses A01, A05, A09)</w:t>
      </w:r>
    </w:p>
    <w:p>
      <w:pPr>
        <w:spacing w:after="120" w:line="276" w:lineRule="auto"/>
      </w:pPr>
      <w:r>
        <w:rPr>
          <w:rFonts w:ascii="Calibri" w:hAnsi="Calibri"/>
          <w:b/>
          <w:color w:val="333333"/>
          <w:sz w:val="22"/>
        </w:rPr>
        <w:t xml:space="preserve">Audit Note: </w:t>
      </w:r>
      <w:r>
        <w:rPr>
          <w:rFonts w:ascii="Calibri" w:hAnsi="Calibri"/>
          <w:i w:val="0"/>
          <w:color w:val="333333"/>
          <w:sz w:val="22"/>
        </w:rPr>
        <w:t>Automated scanners are highly proficient at identifying signature-based failures, such as unpatched components (A06) or basic injection vectors (A03). However, structural access control failures (A01) and business logic flaws inside insecure designs (A04) require systematic, manual penetration testing and logical code reviews to uncover.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