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8C2E" w14:textId="09A1A87D" w:rsidR="00F974D0" w:rsidRPr="000C5530" w:rsidRDefault="00DD0860" w:rsidP="00034CA1">
      <w:pPr>
        <w:jc w:val="center"/>
        <w:rPr>
          <w:rFonts w:ascii="Georgia" w:hAnsi="Georgia" w:cs="Calibri"/>
          <w:b/>
          <w:bCs/>
          <w:u w:val="single"/>
        </w:rPr>
      </w:pPr>
      <w:r>
        <w:rPr>
          <w:rFonts w:ascii="Georgia" w:hAnsi="Georgia" w:cs="Calibri"/>
          <w:b/>
          <w:bCs/>
          <w:u w:val="single"/>
        </w:rPr>
        <w:t>$</w:t>
      </w:r>
      <w:r w:rsidR="00714EFA">
        <w:rPr>
          <w:rFonts w:ascii="Georgia" w:hAnsi="Georgia" w:cs="Calibri"/>
          <w:b/>
          <w:bCs/>
          <w:u w:val="single"/>
        </w:rPr>
        <w:t>DRUG</w:t>
      </w:r>
      <w:r>
        <w:rPr>
          <w:rFonts w:ascii="Georgia" w:hAnsi="Georgia" w:cs="Calibri"/>
          <w:b/>
          <w:bCs/>
          <w:u w:val="single"/>
        </w:rPr>
        <w:t xml:space="preserve"> </w:t>
      </w:r>
      <w:r w:rsidR="00714EFA">
        <w:rPr>
          <w:rFonts w:ascii="Georgia" w:hAnsi="Georgia" w:cs="Calibri"/>
          <w:b/>
          <w:bCs/>
          <w:u w:val="single"/>
        </w:rPr>
        <w:t xml:space="preserve">Bright Minds Biosciences </w:t>
      </w:r>
      <w:r w:rsidR="001330BE">
        <w:rPr>
          <w:rFonts w:ascii="Georgia" w:hAnsi="Georgia" w:cs="Calibri"/>
          <w:b/>
          <w:bCs/>
          <w:u w:val="single"/>
        </w:rPr>
        <w:t xml:space="preserve">Long </w:t>
      </w:r>
      <w:r w:rsidR="005445E1">
        <w:rPr>
          <w:rFonts w:ascii="Georgia" w:hAnsi="Georgia" w:cs="Calibri"/>
          <w:b/>
          <w:bCs/>
          <w:u w:val="single"/>
        </w:rPr>
        <w:t>Suggestion</w:t>
      </w:r>
    </w:p>
    <w:p w14:paraId="65EF2A33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71F5AF2C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467FA653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23C0D6D0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1A35FB03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1632EDDE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29F0EE9F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49059C9E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40E73D9C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06610294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43DAB608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0F9B421F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21AB53E5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521C0892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43A81D00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36F13E38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158E9A85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6C859706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798BADBC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19F7850B" w14:textId="77777777" w:rsidR="001F6F9B" w:rsidRDefault="001F6F9B" w:rsidP="00034CA1">
      <w:pPr>
        <w:jc w:val="center"/>
        <w:rPr>
          <w:rFonts w:ascii="Franklin Gothic Book" w:hAnsi="Franklin Gothic Book" w:cs="Calibri"/>
        </w:rPr>
      </w:pPr>
    </w:p>
    <w:p w14:paraId="7ADB75F3" w14:textId="77777777" w:rsidR="001F6F9B" w:rsidRDefault="001F6F9B" w:rsidP="00034CA1">
      <w:pPr>
        <w:jc w:val="center"/>
        <w:rPr>
          <w:rFonts w:ascii="Franklin Gothic Book" w:hAnsi="Franklin Gothic Book" w:cs="Calibri"/>
        </w:rPr>
      </w:pPr>
    </w:p>
    <w:p w14:paraId="0DE9CB3E" w14:textId="3B80A6B6" w:rsidR="0013390D" w:rsidRDefault="00FB614E" w:rsidP="001F6F9B">
      <w:pPr>
        <w:jc w:val="center"/>
        <w:rPr>
          <w:rFonts w:ascii="Franklin Gothic Book" w:hAnsi="Franklin Gothic Book" w:cs="Calibri"/>
        </w:rPr>
      </w:pPr>
      <w:r>
        <w:rPr>
          <w:rFonts w:ascii="Franklin Gothic Book" w:hAnsi="Franklin Gothic Book" w:cs="Calibri"/>
        </w:rPr>
        <w:t>By Snaking</w:t>
      </w:r>
    </w:p>
    <w:p w14:paraId="604D4828" w14:textId="17936DD9" w:rsidR="00FB614E" w:rsidRDefault="000670C6" w:rsidP="00034CA1">
      <w:pPr>
        <w:jc w:val="center"/>
        <w:rPr>
          <w:rFonts w:ascii="Franklin Gothic Book" w:hAnsi="Franklin Gothic Book" w:cs="Calibri"/>
        </w:rPr>
      </w:pPr>
      <w:r>
        <w:rPr>
          <w:rFonts w:ascii="Franklin Gothic Book" w:hAnsi="Franklin Gothic Book" w:cs="Calibri"/>
        </w:rPr>
        <w:t>March</w:t>
      </w:r>
      <w:r w:rsidR="00AC6D42">
        <w:rPr>
          <w:rFonts w:ascii="Franklin Gothic Book" w:hAnsi="Franklin Gothic Book" w:cs="Calibri"/>
        </w:rPr>
        <w:t xml:space="preserve"> </w:t>
      </w:r>
      <w:r w:rsidR="00FB614E">
        <w:rPr>
          <w:rFonts w:ascii="Franklin Gothic Book" w:hAnsi="Franklin Gothic Book" w:cs="Calibri"/>
        </w:rPr>
        <w:t>202</w:t>
      </w:r>
      <w:r w:rsidR="00AC6D42">
        <w:rPr>
          <w:rFonts w:ascii="Franklin Gothic Book" w:hAnsi="Franklin Gothic Book" w:cs="Calibri"/>
        </w:rPr>
        <w:t>5</w:t>
      </w:r>
    </w:p>
    <w:p w14:paraId="75FD9244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6632CACB" w14:textId="77777777" w:rsidR="00663E26" w:rsidRDefault="00663E26" w:rsidP="00034CA1">
      <w:pPr>
        <w:jc w:val="center"/>
        <w:rPr>
          <w:rFonts w:ascii="Franklin Gothic Book" w:hAnsi="Franklin Gothic Book" w:cs="Calibri"/>
        </w:rPr>
      </w:pPr>
    </w:p>
    <w:p w14:paraId="270011AC" w14:textId="77777777" w:rsidR="00D21C30" w:rsidRDefault="00D21C30" w:rsidP="00034CA1">
      <w:pPr>
        <w:jc w:val="center"/>
        <w:rPr>
          <w:rFonts w:ascii="Franklin Gothic Book" w:hAnsi="Franklin Gothic Book" w:cs="Calibri"/>
        </w:rPr>
      </w:pPr>
    </w:p>
    <w:p w14:paraId="0D1A2ABC" w14:textId="1BF0CB75" w:rsidR="00D21C30" w:rsidRPr="000C5530" w:rsidRDefault="003111A6" w:rsidP="003111A6">
      <w:pPr>
        <w:jc w:val="center"/>
        <w:rPr>
          <w:rFonts w:ascii="Georgia" w:hAnsi="Georgia" w:cs="Calibri"/>
          <w:b/>
          <w:bCs/>
          <w:u w:val="single"/>
        </w:rPr>
      </w:pPr>
      <w:r w:rsidRPr="000C5530">
        <w:rPr>
          <w:rFonts w:ascii="Georgia" w:hAnsi="Georgia" w:cs="Calibri"/>
          <w:b/>
          <w:bCs/>
          <w:u w:val="single"/>
        </w:rPr>
        <w:lastRenderedPageBreak/>
        <w:t>Executive Summary</w:t>
      </w:r>
    </w:p>
    <w:p w14:paraId="219BB761" w14:textId="4BCF823C" w:rsidR="001C044E" w:rsidRDefault="00220AE6" w:rsidP="00007ABB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At a market</w:t>
      </w:r>
      <w:r w:rsidR="00142198">
        <w:rPr>
          <w:rFonts w:ascii="Georgia" w:hAnsi="Georgia" w:cs="Calibri"/>
          <w:bCs/>
        </w:rPr>
        <w:t xml:space="preserve"> capitalization </w:t>
      </w:r>
      <w:r>
        <w:rPr>
          <w:rFonts w:ascii="Georgia" w:hAnsi="Georgia" w:cs="Calibri"/>
          <w:bCs/>
        </w:rPr>
        <w:t>of $</w:t>
      </w:r>
      <w:r w:rsidR="00714EFA">
        <w:rPr>
          <w:rFonts w:ascii="Georgia" w:hAnsi="Georgia" w:cs="Calibri"/>
          <w:bCs/>
        </w:rPr>
        <w:t>250m</w:t>
      </w:r>
      <w:r>
        <w:rPr>
          <w:rFonts w:ascii="Georgia" w:hAnsi="Georgia" w:cs="Calibri"/>
          <w:bCs/>
        </w:rPr>
        <w:t xml:space="preserve">, with a cash balance of </w:t>
      </w:r>
      <w:r w:rsidR="0028526B">
        <w:rPr>
          <w:rFonts w:ascii="Georgia" w:hAnsi="Georgia" w:cs="Calibri"/>
          <w:bCs/>
        </w:rPr>
        <w:t>$</w:t>
      </w:r>
      <w:r w:rsidR="00714EFA">
        <w:rPr>
          <w:rFonts w:ascii="Georgia" w:hAnsi="Georgia" w:cs="Calibri"/>
          <w:bCs/>
        </w:rPr>
        <w:t>60</w:t>
      </w:r>
      <w:r w:rsidR="0028526B">
        <w:rPr>
          <w:rFonts w:ascii="Georgia" w:hAnsi="Georgia" w:cs="Calibri"/>
          <w:bCs/>
        </w:rPr>
        <w:t xml:space="preserve">m </w:t>
      </w:r>
      <w:r w:rsidR="00843E55">
        <w:rPr>
          <w:rFonts w:ascii="Georgia" w:hAnsi="Georgia" w:cs="Calibri"/>
          <w:bCs/>
        </w:rPr>
        <w:t>(EV of</w:t>
      </w:r>
      <w:r w:rsidR="00714EFA">
        <w:rPr>
          <w:rFonts w:ascii="Georgia" w:hAnsi="Georgia" w:cs="Calibri"/>
          <w:bCs/>
        </w:rPr>
        <w:t xml:space="preserve"> 190 </w:t>
      </w:r>
      <w:r w:rsidR="00843E55">
        <w:rPr>
          <w:rFonts w:ascii="Georgia" w:hAnsi="Georgia" w:cs="Calibri"/>
          <w:bCs/>
        </w:rPr>
        <w:t xml:space="preserve">million US$) </w:t>
      </w:r>
      <w:r w:rsidR="0028526B">
        <w:rPr>
          <w:rFonts w:ascii="Georgia" w:hAnsi="Georgia" w:cs="Calibri"/>
          <w:bCs/>
        </w:rPr>
        <w:t xml:space="preserve">and </w:t>
      </w:r>
      <w:r w:rsidR="00843E55">
        <w:rPr>
          <w:rFonts w:ascii="Georgia" w:hAnsi="Georgia" w:cs="Calibri"/>
          <w:bCs/>
        </w:rPr>
        <w:t>quarterly spending of ~$</w:t>
      </w:r>
      <w:r w:rsidR="00D70C8C">
        <w:rPr>
          <w:rFonts w:ascii="Georgia" w:hAnsi="Georgia" w:cs="Calibri"/>
          <w:bCs/>
        </w:rPr>
        <w:t>3-4</w:t>
      </w:r>
      <w:r w:rsidR="00843E55">
        <w:rPr>
          <w:rFonts w:ascii="Georgia" w:hAnsi="Georgia" w:cs="Calibri"/>
          <w:bCs/>
        </w:rPr>
        <w:t>m</w:t>
      </w:r>
      <w:r w:rsidR="00AC7935">
        <w:rPr>
          <w:rFonts w:ascii="Georgia" w:hAnsi="Georgia" w:cs="Calibri"/>
          <w:bCs/>
        </w:rPr>
        <w:t xml:space="preserve">, </w:t>
      </w:r>
      <w:r w:rsidR="007851C7">
        <w:rPr>
          <w:rFonts w:ascii="Georgia" w:hAnsi="Georgia" w:cs="Calibri"/>
          <w:bCs/>
        </w:rPr>
        <w:t>$DRUG represents an undervalued player in the epilepsy market</w:t>
      </w:r>
      <w:r w:rsidR="00B3703A">
        <w:rPr>
          <w:rFonts w:ascii="Georgia" w:hAnsi="Georgia" w:cs="Calibri"/>
          <w:bCs/>
        </w:rPr>
        <w:t xml:space="preserve"> ahead of its Proof-of-Concept trial readout</w:t>
      </w:r>
      <w:r w:rsidR="007851C7">
        <w:rPr>
          <w:rFonts w:ascii="Georgia" w:hAnsi="Georgia" w:cs="Calibri"/>
          <w:bCs/>
        </w:rPr>
        <w:t>.</w:t>
      </w:r>
    </w:p>
    <w:p w14:paraId="296A301C" w14:textId="2A61500F" w:rsidR="007851C7" w:rsidRDefault="0051477F" w:rsidP="00CB63EA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  <w:r w:rsidR="001C4D85">
        <w:rPr>
          <w:rFonts w:ascii="Georgia" w:hAnsi="Georgia" w:cs="Calibri"/>
          <w:bCs/>
        </w:rPr>
        <w:t xml:space="preserve">The </w:t>
      </w:r>
      <w:r w:rsidR="00CB0C5B">
        <w:rPr>
          <w:rFonts w:ascii="Georgia" w:hAnsi="Georgia" w:cs="Calibri"/>
          <w:bCs/>
        </w:rPr>
        <w:t>difference</w:t>
      </w:r>
      <w:r w:rsidR="001C4D85">
        <w:rPr>
          <w:rFonts w:ascii="Georgia" w:hAnsi="Georgia" w:cs="Calibri"/>
          <w:bCs/>
        </w:rPr>
        <w:t xml:space="preserve"> in </w:t>
      </w:r>
      <w:r w:rsidR="006C5577">
        <w:rPr>
          <w:rFonts w:ascii="Georgia" w:hAnsi="Georgia" w:cs="Calibri"/>
          <w:bCs/>
        </w:rPr>
        <w:t xml:space="preserve">$DRUG’s price </w:t>
      </w:r>
      <w:r w:rsidR="001C4D85">
        <w:rPr>
          <w:rFonts w:ascii="Georgia" w:hAnsi="Georgia" w:cs="Calibri"/>
          <w:bCs/>
        </w:rPr>
        <w:t xml:space="preserve">in comparison </w:t>
      </w:r>
      <w:r w:rsidR="006C5577">
        <w:rPr>
          <w:rFonts w:ascii="Georgia" w:hAnsi="Georgia" w:cs="Calibri"/>
          <w:bCs/>
        </w:rPr>
        <w:t xml:space="preserve">to similar </w:t>
      </w:r>
      <w:r w:rsidR="001C4D85">
        <w:rPr>
          <w:rFonts w:ascii="Georgia" w:hAnsi="Georgia" w:cs="Calibri"/>
          <w:bCs/>
        </w:rPr>
        <w:t xml:space="preserve">cases </w:t>
      </w:r>
      <w:r w:rsidR="006C5577">
        <w:rPr>
          <w:rFonts w:ascii="Georgia" w:hAnsi="Georgia" w:cs="Calibri"/>
          <w:bCs/>
        </w:rPr>
        <w:t>(such as $LBPH before Lundbeck bought them)</w:t>
      </w:r>
      <w:r w:rsidR="001C4D85">
        <w:rPr>
          <w:rFonts w:ascii="Georgia" w:hAnsi="Georgia" w:cs="Calibri"/>
          <w:bCs/>
        </w:rPr>
        <w:t xml:space="preserve"> at the current stock price (35$) is certainly much higher than the </w:t>
      </w:r>
      <w:r w:rsidR="00CB0C5B">
        <w:rPr>
          <w:rFonts w:ascii="Georgia" w:hAnsi="Georgia" w:cs="Calibri"/>
          <w:bCs/>
        </w:rPr>
        <w:t xml:space="preserve">difference </w:t>
      </w:r>
      <w:r w:rsidR="001C4D85">
        <w:rPr>
          <w:rFonts w:ascii="Georgia" w:hAnsi="Georgia" w:cs="Calibri"/>
          <w:bCs/>
        </w:rPr>
        <w:t>between drug value</w:t>
      </w:r>
      <w:r w:rsidR="00CB0C5B">
        <w:rPr>
          <w:rFonts w:ascii="Georgia" w:hAnsi="Georgia" w:cs="Calibri"/>
          <w:bCs/>
        </w:rPr>
        <w:t>s</w:t>
      </w:r>
      <w:r w:rsidR="001C4D85">
        <w:rPr>
          <w:rFonts w:ascii="Georgia" w:hAnsi="Georgia" w:cs="Calibri"/>
          <w:bCs/>
        </w:rPr>
        <w:t>.</w:t>
      </w:r>
    </w:p>
    <w:p w14:paraId="70CD8C4D" w14:textId="343F1E3F" w:rsidR="007851C7" w:rsidRDefault="00CB63EA" w:rsidP="007851C7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I expect the market to react positively to the Phase 2 Open-Label data readout</w:t>
      </w:r>
      <w:r w:rsidR="008F540D">
        <w:rPr>
          <w:rFonts w:ascii="Georgia" w:hAnsi="Georgia" w:cs="Calibri"/>
          <w:bCs/>
        </w:rPr>
        <w:t xml:space="preserve"> (</w:t>
      </w:r>
      <w:proofErr w:type="gramStart"/>
      <w:r w:rsidR="00557A44">
        <w:rPr>
          <w:rFonts w:ascii="Georgia" w:hAnsi="Georgia" w:cs="Calibri"/>
          <w:bCs/>
        </w:rPr>
        <w:t>most likely between</w:t>
      </w:r>
      <w:proofErr w:type="gramEnd"/>
      <w:r w:rsidR="00557A44">
        <w:rPr>
          <w:rFonts w:ascii="Georgia" w:hAnsi="Georgia" w:cs="Calibri"/>
          <w:bCs/>
        </w:rPr>
        <w:t xml:space="preserve"> April and July 2025)</w:t>
      </w:r>
      <w:r w:rsidR="00C57B39">
        <w:rPr>
          <w:rFonts w:ascii="Georgia" w:hAnsi="Georgia" w:cs="Calibri"/>
          <w:bCs/>
        </w:rPr>
        <w:t xml:space="preserve"> showcasing the first evidence of BMB-101’s efficacy in the treatment of DEEs</w:t>
      </w:r>
      <w:r w:rsidR="00CB0C5B">
        <w:rPr>
          <w:rFonts w:ascii="Georgia" w:hAnsi="Georgia" w:cs="Calibri"/>
          <w:bCs/>
        </w:rPr>
        <w:t>, correcting these discrepancies</w:t>
      </w:r>
      <w:r w:rsidR="00C57B39">
        <w:rPr>
          <w:rFonts w:ascii="Georgia" w:hAnsi="Georgia" w:cs="Calibri"/>
          <w:bCs/>
        </w:rPr>
        <w:t>.</w:t>
      </w:r>
    </w:p>
    <w:p w14:paraId="240AE2B0" w14:textId="344DB3EF" w:rsidR="009B7868" w:rsidRDefault="00CB0C5B" w:rsidP="00CB506D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</w:p>
    <w:p w14:paraId="409CE868" w14:textId="52E868D1" w:rsidR="008B2578" w:rsidRDefault="00761C27" w:rsidP="00CB506D">
      <w:pPr>
        <w:jc w:val="both"/>
        <w:rPr>
          <w:rFonts w:ascii="Georgia" w:hAnsi="Georgia" w:cs="Calibri"/>
          <w:bCs/>
        </w:rPr>
      </w:pPr>
      <w:r w:rsidRPr="00472FFE">
        <w:rPr>
          <w:rFonts w:ascii="Georgia" w:hAnsi="Georgia" w:cs="Calibri"/>
          <w:bCs/>
          <w:sz w:val="30"/>
          <w:szCs w:val="30"/>
        </w:rPr>
        <w:t>Bull</w:t>
      </w:r>
      <w:r w:rsidR="00FF127F" w:rsidRPr="00472FFE">
        <w:rPr>
          <w:rFonts w:ascii="Georgia" w:hAnsi="Georgia" w:cs="Calibri"/>
          <w:bCs/>
          <w:sz w:val="30"/>
          <w:szCs w:val="30"/>
        </w:rPr>
        <w:t xml:space="preserve"> Case</w:t>
      </w:r>
      <w:r w:rsidR="008B2578">
        <w:rPr>
          <w:rFonts w:ascii="Georgia" w:hAnsi="Georgia" w:cs="Calibri"/>
          <w:bCs/>
          <w:sz w:val="30"/>
          <w:szCs w:val="30"/>
        </w:rPr>
        <w:t xml:space="preserve"> </w:t>
      </w:r>
      <w:r w:rsidR="008B2578" w:rsidRPr="008B2578">
        <w:rPr>
          <w:rFonts w:ascii="Georgia" w:hAnsi="Georgia" w:cs="Calibri"/>
          <w:bCs/>
          <w:color w:val="000000" w:themeColor="text1"/>
          <w:sz w:val="30"/>
          <w:szCs w:val="30"/>
        </w:rPr>
        <w:t>(</w:t>
      </w:r>
      <w:r w:rsidR="007A7FC0">
        <w:rPr>
          <w:rFonts w:ascii="Georgia" w:hAnsi="Georgia" w:cs="Calibri"/>
          <w:bCs/>
          <w:color w:val="000000" w:themeColor="text1"/>
          <w:sz w:val="30"/>
          <w:szCs w:val="30"/>
        </w:rPr>
        <w:t>1</w:t>
      </w:r>
      <w:r w:rsidR="000C0086">
        <w:rPr>
          <w:rFonts w:ascii="Georgia" w:hAnsi="Georgia" w:cs="Calibri"/>
          <w:bCs/>
          <w:color w:val="000000" w:themeColor="text1"/>
          <w:sz w:val="30"/>
          <w:szCs w:val="30"/>
        </w:rPr>
        <w:t>2.5</w:t>
      </w:r>
      <w:r w:rsidR="008B2578" w:rsidRPr="008B2578">
        <w:rPr>
          <w:rFonts w:ascii="Georgia" w:hAnsi="Georgia" w:cs="Calibri"/>
          <w:bCs/>
          <w:color w:val="000000" w:themeColor="text1"/>
          <w:sz w:val="30"/>
          <w:szCs w:val="30"/>
        </w:rPr>
        <w:t>% Probability)</w:t>
      </w:r>
      <w:r w:rsidR="0082640B">
        <w:rPr>
          <w:rFonts w:ascii="Georgia" w:hAnsi="Georgia" w:cs="Calibri"/>
          <w:bCs/>
          <w:sz w:val="30"/>
          <w:szCs w:val="30"/>
        </w:rPr>
        <w:t xml:space="preserve"> </w:t>
      </w:r>
      <w:r w:rsidR="008F16CC">
        <w:rPr>
          <w:rFonts w:ascii="Georgia" w:hAnsi="Georgia" w:cs="Calibri"/>
          <w:bCs/>
          <w:color w:val="45B0E1" w:themeColor="accent1" w:themeTint="99"/>
        </w:rPr>
        <w:t>&gt;</w:t>
      </w:r>
      <w:r w:rsidR="0082640B" w:rsidRPr="000C6427">
        <w:rPr>
          <w:rFonts w:ascii="Georgia" w:hAnsi="Georgia" w:cs="Calibri"/>
          <w:bCs/>
          <w:color w:val="45B0E1" w:themeColor="accent1" w:themeTint="99"/>
        </w:rPr>
        <w:t>$</w:t>
      </w:r>
      <w:r w:rsidR="00D13737">
        <w:rPr>
          <w:rFonts w:ascii="Georgia" w:hAnsi="Georgia" w:cs="Calibri"/>
          <w:bCs/>
          <w:color w:val="45B0E1" w:themeColor="accent1" w:themeTint="99"/>
        </w:rPr>
        <w:t>59.5</w:t>
      </w:r>
      <w:r w:rsidR="0082640B" w:rsidRPr="000C6427">
        <w:rPr>
          <w:rFonts w:ascii="Georgia" w:hAnsi="Georgia" w:cs="Calibri"/>
          <w:bCs/>
          <w:color w:val="45B0E1" w:themeColor="accent1" w:themeTint="99"/>
        </w:rPr>
        <w:t xml:space="preserve">, </w:t>
      </w:r>
      <w:r w:rsidR="00E74BBF">
        <w:rPr>
          <w:rFonts w:ascii="Georgia" w:hAnsi="Georgia" w:cs="Calibri"/>
          <w:bCs/>
          <w:color w:val="45B0E1" w:themeColor="accent1" w:themeTint="99"/>
        </w:rPr>
        <w:t>&gt;</w:t>
      </w:r>
      <w:r w:rsidR="002F3099">
        <w:rPr>
          <w:rFonts w:ascii="Georgia" w:hAnsi="Georgia" w:cs="Calibri"/>
          <w:bCs/>
          <w:color w:val="45B0E1" w:themeColor="accent1" w:themeTint="99"/>
        </w:rPr>
        <w:t>+</w:t>
      </w:r>
      <w:r w:rsidR="00D13737">
        <w:rPr>
          <w:rFonts w:ascii="Georgia" w:hAnsi="Georgia" w:cs="Calibri"/>
          <w:bCs/>
          <w:color w:val="45B0E1" w:themeColor="accent1" w:themeTint="99"/>
        </w:rPr>
        <w:t>70</w:t>
      </w:r>
      <w:r w:rsidR="0082640B" w:rsidRPr="000C6427">
        <w:rPr>
          <w:rFonts w:ascii="Georgia" w:hAnsi="Georgia" w:cs="Calibri"/>
          <w:bCs/>
          <w:color w:val="45B0E1" w:themeColor="accent1" w:themeTint="99"/>
        </w:rPr>
        <w:t>%</w:t>
      </w:r>
      <w:r w:rsidR="0082640B" w:rsidRPr="0082640B">
        <w:rPr>
          <w:rFonts w:ascii="Georgia" w:hAnsi="Georgia" w:cs="Calibri"/>
          <w:bCs/>
          <w:color w:val="000000" w:themeColor="text1"/>
        </w:rPr>
        <w:t>:</w:t>
      </w:r>
      <w:r w:rsidR="00890031">
        <w:rPr>
          <w:rFonts w:ascii="Georgia" w:hAnsi="Georgia" w:cs="Calibri"/>
          <w:bCs/>
          <w:sz w:val="30"/>
          <w:szCs w:val="30"/>
        </w:rPr>
        <w:t xml:space="preserve"> </w:t>
      </w:r>
      <w:r w:rsidR="00BB0699">
        <w:rPr>
          <w:rFonts w:ascii="Georgia" w:hAnsi="Georgia" w:cs="Calibri"/>
          <w:bCs/>
          <w:sz w:val="30"/>
          <w:szCs w:val="30"/>
        </w:rPr>
        <w:t>&gt;</w:t>
      </w:r>
      <w:r w:rsidR="00074ADC">
        <w:rPr>
          <w:rFonts w:ascii="Georgia" w:hAnsi="Georgia" w:cs="Calibri"/>
          <w:bCs/>
        </w:rPr>
        <w:t>70</w:t>
      </w:r>
      <w:r w:rsidR="004D4DB3">
        <w:rPr>
          <w:rFonts w:ascii="Georgia" w:hAnsi="Georgia" w:cs="Calibri"/>
          <w:bCs/>
        </w:rPr>
        <w:t>% reduction in absolute seizure frequency</w:t>
      </w:r>
      <w:r w:rsidR="002E38AF">
        <w:rPr>
          <w:rFonts w:ascii="Georgia" w:hAnsi="Georgia" w:cs="Calibri"/>
          <w:bCs/>
        </w:rPr>
        <w:t xml:space="preserve">, </w:t>
      </w:r>
      <w:r w:rsidR="001E45BE">
        <w:rPr>
          <w:rFonts w:ascii="Georgia" w:hAnsi="Georgia" w:cs="Calibri"/>
          <w:bCs/>
        </w:rPr>
        <w:t>no major unexpected adverse events.</w:t>
      </w:r>
    </w:p>
    <w:p w14:paraId="2C32C03D" w14:textId="77777777" w:rsidR="009B7868" w:rsidRDefault="009B7868" w:rsidP="00CB506D">
      <w:pPr>
        <w:jc w:val="both"/>
        <w:rPr>
          <w:rFonts w:ascii="Georgia" w:hAnsi="Georgia" w:cs="Calibri"/>
          <w:bCs/>
          <w:sz w:val="30"/>
          <w:szCs w:val="30"/>
        </w:rPr>
      </w:pPr>
    </w:p>
    <w:p w14:paraId="6743C60B" w14:textId="6A6B30C4" w:rsidR="008B2578" w:rsidRDefault="008B2578" w:rsidP="00CB506D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  <w:sz w:val="30"/>
          <w:szCs w:val="30"/>
        </w:rPr>
        <w:t>Base</w:t>
      </w:r>
      <w:r w:rsidRPr="00472FFE">
        <w:rPr>
          <w:rFonts w:ascii="Georgia" w:hAnsi="Georgia" w:cs="Calibri"/>
          <w:bCs/>
          <w:sz w:val="30"/>
          <w:szCs w:val="30"/>
        </w:rPr>
        <w:t xml:space="preserve"> Case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Pr="008B2578">
        <w:rPr>
          <w:rFonts w:ascii="Georgia" w:hAnsi="Georgia" w:cs="Calibri"/>
          <w:bCs/>
          <w:color w:val="000000" w:themeColor="text1"/>
          <w:sz w:val="30"/>
          <w:szCs w:val="30"/>
        </w:rPr>
        <w:t>(</w:t>
      </w:r>
      <w:r w:rsidR="001473F3">
        <w:rPr>
          <w:rFonts w:ascii="Georgia" w:hAnsi="Georgia" w:cs="Calibri"/>
          <w:bCs/>
          <w:color w:val="000000" w:themeColor="text1"/>
          <w:sz w:val="30"/>
          <w:szCs w:val="30"/>
        </w:rPr>
        <w:t>80</w:t>
      </w:r>
      <w:r w:rsidRPr="008B2578">
        <w:rPr>
          <w:rFonts w:ascii="Georgia" w:hAnsi="Georgia" w:cs="Calibri"/>
          <w:bCs/>
          <w:color w:val="000000" w:themeColor="text1"/>
          <w:sz w:val="30"/>
          <w:szCs w:val="30"/>
        </w:rPr>
        <w:t>% Probability)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Pr="000C6427">
        <w:rPr>
          <w:rFonts w:ascii="Georgia" w:hAnsi="Georgia" w:cs="Calibri"/>
          <w:bCs/>
          <w:color w:val="45B0E1" w:themeColor="accent1" w:themeTint="99"/>
        </w:rPr>
        <w:t>$</w:t>
      </w:r>
      <w:r w:rsidR="0030554E">
        <w:rPr>
          <w:rFonts w:ascii="Georgia" w:hAnsi="Georgia" w:cs="Calibri"/>
          <w:bCs/>
          <w:color w:val="45B0E1" w:themeColor="accent1" w:themeTint="99"/>
        </w:rPr>
        <w:t>45.5</w:t>
      </w:r>
      <w:r w:rsidR="00424513">
        <w:rPr>
          <w:rFonts w:ascii="Georgia" w:hAnsi="Georgia" w:cs="Calibri"/>
          <w:bCs/>
          <w:color w:val="45B0E1" w:themeColor="accent1" w:themeTint="99"/>
        </w:rPr>
        <w:t xml:space="preserve"> </w:t>
      </w:r>
      <w:r w:rsidR="00D13737">
        <w:rPr>
          <w:rFonts w:ascii="Georgia" w:hAnsi="Georgia" w:cs="Calibri"/>
          <w:bCs/>
          <w:color w:val="45B0E1" w:themeColor="accent1" w:themeTint="99"/>
        </w:rPr>
        <w:t>to</w:t>
      </w:r>
      <w:r w:rsidR="00424513">
        <w:rPr>
          <w:rFonts w:ascii="Georgia" w:hAnsi="Georgia" w:cs="Calibri"/>
          <w:bCs/>
          <w:color w:val="45B0E1" w:themeColor="accent1" w:themeTint="99"/>
        </w:rPr>
        <w:t xml:space="preserve"> </w:t>
      </w:r>
      <w:r w:rsidR="001057A8">
        <w:rPr>
          <w:rFonts w:ascii="Georgia" w:hAnsi="Georgia" w:cs="Calibri"/>
          <w:bCs/>
          <w:color w:val="45B0E1" w:themeColor="accent1" w:themeTint="99"/>
        </w:rPr>
        <w:t>$</w:t>
      </w:r>
      <w:r w:rsidR="00D13737">
        <w:rPr>
          <w:rFonts w:ascii="Georgia" w:hAnsi="Georgia" w:cs="Calibri"/>
          <w:bCs/>
          <w:color w:val="45B0E1" w:themeColor="accent1" w:themeTint="99"/>
        </w:rPr>
        <w:t>59.5</w:t>
      </w:r>
      <w:r w:rsidRPr="000C6427">
        <w:rPr>
          <w:rFonts w:ascii="Georgia" w:hAnsi="Georgia" w:cs="Calibri"/>
          <w:bCs/>
          <w:color w:val="45B0E1" w:themeColor="accent1" w:themeTint="99"/>
        </w:rPr>
        <w:t>, +</w:t>
      </w:r>
      <w:r w:rsidR="0030554E">
        <w:rPr>
          <w:rFonts w:ascii="Georgia" w:hAnsi="Georgia" w:cs="Calibri"/>
          <w:bCs/>
          <w:color w:val="45B0E1" w:themeColor="accent1" w:themeTint="99"/>
        </w:rPr>
        <w:t>30</w:t>
      </w:r>
      <w:r w:rsidR="0018402A">
        <w:rPr>
          <w:rFonts w:ascii="Georgia" w:hAnsi="Georgia" w:cs="Calibri"/>
          <w:bCs/>
          <w:color w:val="45B0E1" w:themeColor="accent1" w:themeTint="99"/>
        </w:rPr>
        <w:t>%</w:t>
      </w:r>
      <w:r w:rsidR="00424513">
        <w:rPr>
          <w:rFonts w:ascii="Georgia" w:hAnsi="Georgia" w:cs="Calibri"/>
          <w:bCs/>
          <w:color w:val="45B0E1" w:themeColor="accent1" w:themeTint="99"/>
        </w:rPr>
        <w:t xml:space="preserve"> </w:t>
      </w:r>
      <w:r w:rsidR="0018402A">
        <w:rPr>
          <w:rFonts w:ascii="Georgia" w:hAnsi="Georgia" w:cs="Calibri"/>
          <w:bCs/>
          <w:color w:val="45B0E1" w:themeColor="accent1" w:themeTint="99"/>
        </w:rPr>
        <w:t>to +</w:t>
      </w:r>
      <w:r w:rsidR="0020738A">
        <w:rPr>
          <w:rFonts w:ascii="Georgia" w:hAnsi="Georgia" w:cs="Calibri"/>
          <w:bCs/>
          <w:color w:val="45B0E1" w:themeColor="accent1" w:themeTint="99"/>
        </w:rPr>
        <w:t>7</w:t>
      </w:r>
      <w:r w:rsidR="0018402A">
        <w:rPr>
          <w:rFonts w:ascii="Georgia" w:hAnsi="Georgia" w:cs="Calibri"/>
          <w:bCs/>
          <w:color w:val="45B0E1" w:themeColor="accent1" w:themeTint="99"/>
        </w:rPr>
        <w:t>0</w:t>
      </w:r>
      <w:r w:rsidRPr="000C6427">
        <w:rPr>
          <w:rFonts w:ascii="Georgia" w:hAnsi="Georgia" w:cs="Calibri"/>
          <w:bCs/>
          <w:color w:val="45B0E1" w:themeColor="accent1" w:themeTint="99"/>
        </w:rPr>
        <w:t>%</w:t>
      </w:r>
      <w:r w:rsidRPr="0082640B">
        <w:rPr>
          <w:rFonts w:ascii="Georgia" w:hAnsi="Georgia" w:cs="Calibri"/>
          <w:bCs/>
          <w:color w:val="000000" w:themeColor="text1"/>
        </w:rPr>
        <w:t>: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="008E57B2">
        <w:rPr>
          <w:rFonts w:ascii="Georgia" w:hAnsi="Georgia" w:cs="Calibri"/>
          <w:bCs/>
        </w:rPr>
        <w:t>45</w:t>
      </w:r>
      <w:r w:rsidR="00B75906">
        <w:rPr>
          <w:rFonts w:ascii="Georgia" w:hAnsi="Georgia" w:cs="Calibri"/>
          <w:bCs/>
        </w:rPr>
        <w:t>-</w:t>
      </w:r>
      <w:r w:rsidR="00074ADC">
        <w:rPr>
          <w:rFonts w:ascii="Georgia" w:hAnsi="Georgia" w:cs="Calibri"/>
          <w:bCs/>
        </w:rPr>
        <w:t>70</w:t>
      </w:r>
      <w:r w:rsidR="00A74658">
        <w:rPr>
          <w:rFonts w:ascii="Georgia" w:hAnsi="Georgia" w:cs="Calibri"/>
          <w:bCs/>
        </w:rPr>
        <w:t>%</w:t>
      </w:r>
      <w:r>
        <w:rPr>
          <w:rFonts w:ascii="Georgia" w:hAnsi="Georgia" w:cs="Calibri"/>
          <w:bCs/>
        </w:rPr>
        <w:t xml:space="preserve"> reduction in absolute seizure frequency, </w:t>
      </w:r>
      <w:r w:rsidR="005957A5">
        <w:rPr>
          <w:rFonts w:ascii="Georgia" w:hAnsi="Georgia" w:cs="Calibri"/>
          <w:bCs/>
        </w:rPr>
        <w:t xml:space="preserve">no </w:t>
      </w:r>
      <w:r w:rsidR="00507A6F">
        <w:rPr>
          <w:rFonts w:ascii="Georgia" w:hAnsi="Georgia" w:cs="Calibri"/>
          <w:bCs/>
        </w:rPr>
        <w:t xml:space="preserve">major </w:t>
      </w:r>
      <w:r w:rsidR="0048702E">
        <w:rPr>
          <w:rFonts w:ascii="Georgia" w:hAnsi="Georgia" w:cs="Calibri"/>
          <w:bCs/>
        </w:rPr>
        <w:t xml:space="preserve">unexpected </w:t>
      </w:r>
      <w:r w:rsidR="00507A6F">
        <w:rPr>
          <w:rFonts w:ascii="Georgia" w:hAnsi="Georgia" w:cs="Calibri"/>
          <w:bCs/>
        </w:rPr>
        <w:t>adverse events</w:t>
      </w:r>
      <w:r w:rsidR="009E5398">
        <w:rPr>
          <w:rFonts w:ascii="Georgia" w:hAnsi="Georgia" w:cs="Calibri"/>
          <w:bCs/>
        </w:rPr>
        <w:t>.</w:t>
      </w:r>
    </w:p>
    <w:p w14:paraId="0D417B3B" w14:textId="77777777" w:rsidR="009B7868" w:rsidRDefault="009B7868" w:rsidP="00CB506D">
      <w:pPr>
        <w:jc w:val="both"/>
        <w:rPr>
          <w:rFonts w:ascii="Georgia" w:hAnsi="Georgia" w:cs="Calibri"/>
          <w:bCs/>
        </w:rPr>
      </w:pPr>
    </w:p>
    <w:p w14:paraId="2327439B" w14:textId="29ADB287" w:rsidR="00E554AF" w:rsidRDefault="00F63F8E" w:rsidP="00CB506D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  <w:sz w:val="30"/>
          <w:szCs w:val="30"/>
        </w:rPr>
        <w:t>B</w:t>
      </w:r>
      <w:r w:rsidR="00326B25">
        <w:rPr>
          <w:rFonts w:ascii="Georgia" w:hAnsi="Georgia" w:cs="Calibri"/>
          <w:bCs/>
          <w:sz w:val="30"/>
          <w:szCs w:val="30"/>
        </w:rPr>
        <w:t>ear</w:t>
      </w:r>
      <w:r w:rsidRPr="00472FFE">
        <w:rPr>
          <w:rFonts w:ascii="Georgia" w:hAnsi="Georgia" w:cs="Calibri"/>
          <w:bCs/>
          <w:sz w:val="30"/>
          <w:szCs w:val="30"/>
        </w:rPr>
        <w:t xml:space="preserve"> Case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Pr="008B2578">
        <w:rPr>
          <w:rFonts w:ascii="Georgia" w:hAnsi="Georgia" w:cs="Calibri"/>
          <w:bCs/>
          <w:color w:val="000000" w:themeColor="text1"/>
          <w:sz w:val="30"/>
          <w:szCs w:val="30"/>
        </w:rPr>
        <w:t>(</w:t>
      </w:r>
      <w:r w:rsidR="000C0086">
        <w:rPr>
          <w:rFonts w:ascii="Georgia" w:hAnsi="Georgia" w:cs="Calibri"/>
          <w:bCs/>
          <w:color w:val="000000" w:themeColor="text1"/>
          <w:sz w:val="30"/>
          <w:szCs w:val="30"/>
        </w:rPr>
        <w:t>7.5</w:t>
      </w:r>
      <w:r w:rsidRPr="008B2578">
        <w:rPr>
          <w:rFonts w:ascii="Georgia" w:hAnsi="Georgia" w:cs="Calibri"/>
          <w:bCs/>
          <w:color w:val="000000" w:themeColor="text1"/>
          <w:sz w:val="30"/>
          <w:szCs w:val="30"/>
        </w:rPr>
        <w:t>% Probability)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Pr="000C6427">
        <w:rPr>
          <w:rFonts w:ascii="Georgia" w:hAnsi="Georgia" w:cs="Calibri"/>
          <w:bCs/>
          <w:color w:val="45B0E1" w:themeColor="accent1" w:themeTint="99"/>
        </w:rPr>
        <w:t>$</w:t>
      </w:r>
      <w:r w:rsidR="001473F3">
        <w:rPr>
          <w:rFonts w:ascii="Georgia" w:hAnsi="Georgia" w:cs="Calibri"/>
          <w:bCs/>
          <w:color w:val="45B0E1" w:themeColor="accent1" w:themeTint="99"/>
        </w:rPr>
        <w:t>7</w:t>
      </w:r>
      <w:r w:rsidR="00D13737">
        <w:rPr>
          <w:rFonts w:ascii="Georgia" w:hAnsi="Georgia" w:cs="Calibri"/>
          <w:bCs/>
          <w:color w:val="45B0E1" w:themeColor="accent1" w:themeTint="99"/>
        </w:rPr>
        <w:t xml:space="preserve"> to $</w:t>
      </w:r>
      <w:r w:rsidR="001473F3">
        <w:rPr>
          <w:rFonts w:ascii="Georgia" w:hAnsi="Georgia" w:cs="Calibri"/>
          <w:bCs/>
          <w:color w:val="45B0E1" w:themeColor="accent1" w:themeTint="99"/>
        </w:rPr>
        <w:t>17.5</w:t>
      </w:r>
      <w:r w:rsidRPr="000C6427">
        <w:rPr>
          <w:rFonts w:ascii="Georgia" w:hAnsi="Georgia" w:cs="Calibri"/>
          <w:bCs/>
          <w:color w:val="45B0E1" w:themeColor="accent1" w:themeTint="99"/>
        </w:rPr>
        <w:t xml:space="preserve">, </w:t>
      </w:r>
      <w:r w:rsidR="0099174A">
        <w:rPr>
          <w:rFonts w:ascii="Georgia" w:hAnsi="Georgia" w:cs="Calibri"/>
          <w:bCs/>
          <w:color w:val="45B0E1" w:themeColor="accent1" w:themeTint="99"/>
        </w:rPr>
        <w:t>-</w:t>
      </w:r>
      <w:r w:rsidR="00D74DAD">
        <w:rPr>
          <w:rFonts w:ascii="Georgia" w:hAnsi="Georgia" w:cs="Calibri"/>
          <w:bCs/>
          <w:color w:val="45B0E1" w:themeColor="accent1" w:themeTint="99"/>
        </w:rPr>
        <w:t>8</w:t>
      </w:r>
      <w:r w:rsidR="008E57B2">
        <w:rPr>
          <w:rFonts w:ascii="Georgia" w:hAnsi="Georgia" w:cs="Calibri"/>
          <w:bCs/>
          <w:color w:val="45B0E1" w:themeColor="accent1" w:themeTint="99"/>
        </w:rPr>
        <w:t>0</w:t>
      </w:r>
      <w:r w:rsidR="0018402A">
        <w:rPr>
          <w:rFonts w:ascii="Georgia" w:hAnsi="Georgia" w:cs="Calibri"/>
          <w:bCs/>
          <w:color w:val="45B0E1" w:themeColor="accent1" w:themeTint="99"/>
        </w:rPr>
        <w:t>%</w:t>
      </w:r>
      <w:r w:rsidR="001473F3">
        <w:rPr>
          <w:rFonts w:ascii="Georgia" w:hAnsi="Georgia" w:cs="Calibri"/>
          <w:bCs/>
          <w:color w:val="45B0E1" w:themeColor="accent1" w:themeTint="99"/>
        </w:rPr>
        <w:t xml:space="preserve"> to -</w:t>
      </w:r>
      <w:r w:rsidR="001B065D">
        <w:rPr>
          <w:rFonts w:ascii="Georgia" w:hAnsi="Georgia" w:cs="Calibri"/>
          <w:bCs/>
          <w:color w:val="45B0E1" w:themeColor="accent1" w:themeTint="99"/>
        </w:rPr>
        <w:t>5</w:t>
      </w:r>
      <w:r w:rsidR="001473F3">
        <w:rPr>
          <w:rFonts w:ascii="Georgia" w:hAnsi="Georgia" w:cs="Calibri"/>
          <w:bCs/>
          <w:color w:val="45B0E1" w:themeColor="accent1" w:themeTint="99"/>
        </w:rPr>
        <w:t>0</w:t>
      </w:r>
      <w:r w:rsidR="0099174A">
        <w:rPr>
          <w:rFonts w:ascii="Georgia" w:hAnsi="Georgia" w:cs="Calibri"/>
          <w:bCs/>
          <w:color w:val="45B0E1" w:themeColor="accent1" w:themeTint="99"/>
        </w:rPr>
        <w:t>%</w:t>
      </w:r>
      <w:r w:rsidRPr="0082640B">
        <w:rPr>
          <w:rFonts w:ascii="Georgia" w:hAnsi="Georgia" w:cs="Calibri"/>
          <w:bCs/>
          <w:color w:val="000000" w:themeColor="text1"/>
        </w:rPr>
        <w:t>:</w:t>
      </w:r>
      <w:r w:rsidR="001473F3">
        <w:rPr>
          <w:rFonts w:ascii="Georgia" w:hAnsi="Georgia" w:cs="Calibri"/>
          <w:bCs/>
          <w:color w:val="000000" w:themeColor="text1"/>
        </w:rPr>
        <w:t xml:space="preserve"> little to</w:t>
      </w:r>
      <w:r>
        <w:rPr>
          <w:rFonts w:ascii="Georgia" w:hAnsi="Georgia" w:cs="Calibri"/>
          <w:bCs/>
          <w:sz w:val="30"/>
          <w:szCs w:val="30"/>
        </w:rPr>
        <w:t xml:space="preserve"> </w:t>
      </w:r>
      <w:r w:rsidR="00917E70">
        <w:rPr>
          <w:rFonts w:ascii="Georgia" w:hAnsi="Georgia" w:cs="Calibri"/>
          <w:bCs/>
        </w:rPr>
        <w:t xml:space="preserve">no </w:t>
      </w:r>
      <w:r w:rsidR="0079640A">
        <w:rPr>
          <w:rFonts w:ascii="Georgia" w:hAnsi="Georgia" w:cs="Calibri"/>
          <w:bCs/>
        </w:rPr>
        <w:t>suggestive evidence</w:t>
      </w:r>
      <w:r w:rsidR="00917E70">
        <w:rPr>
          <w:rFonts w:ascii="Georgia" w:hAnsi="Georgia" w:cs="Calibri"/>
          <w:bCs/>
        </w:rPr>
        <w:t xml:space="preserve"> of efficacy, or </w:t>
      </w:r>
      <w:r w:rsidR="0068650D">
        <w:rPr>
          <w:rFonts w:ascii="Georgia" w:hAnsi="Georgia" w:cs="Calibri"/>
          <w:bCs/>
        </w:rPr>
        <w:t>problematic occurrence of unexpected adverse events.</w:t>
      </w:r>
    </w:p>
    <w:p w14:paraId="624F80B5" w14:textId="77777777" w:rsidR="00F63F8E" w:rsidRDefault="00F63F8E" w:rsidP="00F63F8E">
      <w:pPr>
        <w:rPr>
          <w:rFonts w:ascii="Georgia" w:hAnsi="Georgia" w:cs="Calibri"/>
          <w:bCs/>
        </w:rPr>
      </w:pPr>
    </w:p>
    <w:p w14:paraId="1F54537B" w14:textId="77777777" w:rsidR="009415EE" w:rsidRDefault="009415EE" w:rsidP="00D1511E">
      <w:pPr>
        <w:rPr>
          <w:rFonts w:ascii="Georgia" w:hAnsi="Georgia" w:cs="Calibri"/>
          <w:bCs/>
        </w:rPr>
      </w:pPr>
    </w:p>
    <w:p w14:paraId="126C2745" w14:textId="77777777" w:rsidR="00F01207" w:rsidRDefault="00F01207" w:rsidP="003B256A">
      <w:pPr>
        <w:rPr>
          <w:rFonts w:ascii="Georgia" w:hAnsi="Georgia" w:cs="Calibri"/>
          <w:bCs/>
        </w:rPr>
      </w:pPr>
    </w:p>
    <w:p w14:paraId="76DD32E0" w14:textId="77777777" w:rsidR="003B256A" w:rsidRDefault="003B256A" w:rsidP="003B256A">
      <w:pPr>
        <w:rPr>
          <w:rFonts w:ascii="Georgia" w:hAnsi="Georgia" w:cs="Calibri"/>
          <w:bCs/>
        </w:rPr>
      </w:pPr>
    </w:p>
    <w:p w14:paraId="13663819" w14:textId="77777777" w:rsidR="0078436F" w:rsidRDefault="0078436F" w:rsidP="003B256A">
      <w:pPr>
        <w:rPr>
          <w:rFonts w:ascii="Georgia" w:hAnsi="Georgia" w:cs="Calibri"/>
          <w:bCs/>
        </w:rPr>
      </w:pPr>
    </w:p>
    <w:p w14:paraId="5A3D31A8" w14:textId="77777777" w:rsidR="0078436F" w:rsidRDefault="0078436F" w:rsidP="003B256A">
      <w:pPr>
        <w:rPr>
          <w:rFonts w:ascii="Georgia" w:hAnsi="Georgia" w:cs="Calibri"/>
          <w:bCs/>
        </w:rPr>
      </w:pPr>
    </w:p>
    <w:p w14:paraId="331887AA" w14:textId="77777777" w:rsidR="006450AC" w:rsidRDefault="006450AC" w:rsidP="003B256A">
      <w:pPr>
        <w:rPr>
          <w:rFonts w:ascii="Georgia" w:hAnsi="Georgia" w:cs="Calibri"/>
          <w:bCs/>
        </w:rPr>
      </w:pPr>
    </w:p>
    <w:p w14:paraId="34E10F40" w14:textId="77777777" w:rsidR="0078436F" w:rsidRDefault="0078436F" w:rsidP="003B256A">
      <w:pPr>
        <w:rPr>
          <w:rFonts w:ascii="Georgia" w:hAnsi="Georgia" w:cs="Calibri"/>
          <w:bCs/>
        </w:rPr>
      </w:pPr>
    </w:p>
    <w:p w14:paraId="24DC16FF" w14:textId="77777777" w:rsidR="0078436F" w:rsidRDefault="0078436F" w:rsidP="003B256A">
      <w:pPr>
        <w:rPr>
          <w:rFonts w:ascii="Georgia" w:hAnsi="Georgia" w:cs="Calibri"/>
          <w:bCs/>
        </w:rPr>
      </w:pPr>
    </w:p>
    <w:p w14:paraId="631529AB" w14:textId="77777777" w:rsidR="0078436F" w:rsidRDefault="0078436F" w:rsidP="003B256A">
      <w:pPr>
        <w:rPr>
          <w:rFonts w:ascii="Georgia" w:hAnsi="Georgia" w:cs="Calibri"/>
          <w:bCs/>
        </w:rPr>
      </w:pPr>
    </w:p>
    <w:p w14:paraId="352E198D" w14:textId="77777777" w:rsidR="0078436F" w:rsidRPr="00F01207" w:rsidRDefault="0078436F" w:rsidP="003B256A">
      <w:pPr>
        <w:rPr>
          <w:rFonts w:ascii="Georgia" w:hAnsi="Georgia" w:cs="Calibri"/>
          <w:bCs/>
        </w:rPr>
      </w:pPr>
    </w:p>
    <w:p w14:paraId="3985DC30" w14:textId="28A2A25E" w:rsidR="00EB50C7" w:rsidRPr="00506CC8" w:rsidRDefault="00506CC8" w:rsidP="00506CC8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lastRenderedPageBreak/>
        <w:t>Context</w:t>
      </w:r>
    </w:p>
    <w:p w14:paraId="064D6217" w14:textId="1F198D30" w:rsidR="00914F70" w:rsidRDefault="00AB44E7" w:rsidP="001C4966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Bright Minds Biosciences</w:t>
      </w:r>
      <w:r w:rsidRPr="00AB44E7">
        <w:rPr>
          <w:rFonts w:ascii="Georgia" w:hAnsi="Georgia" w:cs="Calibri"/>
          <w:bCs/>
        </w:rPr>
        <w:t xml:space="preserve"> </w:t>
      </w:r>
      <w:r>
        <w:rPr>
          <w:rFonts w:ascii="Georgia" w:hAnsi="Georgia" w:cs="Calibri"/>
          <w:bCs/>
        </w:rPr>
        <w:t xml:space="preserve">(“BMB”) </w:t>
      </w:r>
      <w:r w:rsidRPr="00AB44E7">
        <w:rPr>
          <w:rFonts w:ascii="Georgia" w:hAnsi="Georgia" w:cs="Calibri"/>
          <w:bCs/>
        </w:rPr>
        <w:t xml:space="preserve">initially focused on new chemical entities (NCEs) for a variety of pain indications, seizures, and neuropsychiatric disorders. By leveraging the extensive drug discovery experience of the BMB team, </w:t>
      </w:r>
      <w:r>
        <w:rPr>
          <w:rFonts w:ascii="Georgia" w:hAnsi="Georgia" w:cs="Calibri"/>
          <w:bCs/>
        </w:rPr>
        <w:t>the company</w:t>
      </w:r>
      <w:r w:rsidRPr="00AB44E7">
        <w:rPr>
          <w:rFonts w:ascii="Georgia" w:hAnsi="Georgia" w:cs="Calibri"/>
          <w:bCs/>
        </w:rPr>
        <w:t xml:space="preserve"> </w:t>
      </w:r>
      <w:r w:rsidR="00376E96">
        <w:rPr>
          <w:rFonts w:ascii="Georgia" w:hAnsi="Georgia" w:cs="Calibri"/>
          <w:bCs/>
        </w:rPr>
        <w:t xml:space="preserve">planned to create best-in-class second-generation </w:t>
      </w:r>
      <w:r w:rsidR="00A23154">
        <w:rPr>
          <w:rFonts w:ascii="Georgia" w:hAnsi="Georgia" w:cs="Calibri"/>
          <w:bCs/>
        </w:rPr>
        <w:t>serotonin-targeting therapeutics</w:t>
      </w:r>
      <w:r w:rsidR="001039DD">
        <w:rPr>
          <w:rFonts w:ascii="Georgia" w:hAnsi="Georgia" w:cs="Calibri"/>
          <w:bCs/>
        </w:rPr>
        <w:t>, aiming to have better selectivity</w:t>
      </w:r>
      <w:r w:rsidR="00E327C8">
        <w:rPr>
          <w:rFonts w:ascii="Georgia" w:hAnsi="Georgia" w:cs="Calibri"/>
          <w:bCs/>
        </w:rPr>
        <w:t xml:space="preserve"> for the targeted receptors, less frequent dosing, less susceptibility to tolerance</w:t>
      </w:r>
      <w:r w:rsidR="001039DD">
        <w:rPr>
          <w:rFonts w:ascii="Georgia" w:hAnsi="Georgia" w:cs="Calibri"/>
          <w:bCs/>
        </w:rPr>
        <w:t xml:space="preserve"> than previously available options</w:t>
      </w:r>
      <w:r w:rsidR="00BC61B4">
        <w:rPr>
          <w:rFonts w:ascii="Georgia" w:hAnsi="Georgia" w:cs="Calibri"/>
          <w:bCs/>
        </w:rPr>
        <w:t>, ...</w:t>
      </w:r>
      <w:r w:rsidR="00914F70">
        <w:rPr>
          <w:rFonts w:ascii="Georgia" w:hAnsi="Georgia" w:cs="Calibri"/>
          <w:bCs/>
        </w:rPr>
        <w:t xml:space="preserve"> which would </w:t>
      </w:r>
      <w:r w:rsidR="00F0584B">
        <w:rPr>
          <w:rFonts w:ascii="Georgia" w:hAnsi="Georgia" w:cs="Calibri"/>
          <w:bCs/>
        </w:rPr>
        <w:t xml:space="preserve">logically </w:t>
      </w:r>
      <w:r w:rsidR="00914F70">
        <w:rPr>
          <w:rFonts w:ascii="Georgia" w:hAnsi="Georgia" w:cs="Calibri"/>
          <w:bCs/>
        </w:rPr>
        <w:t xml:space="preserve">lead to </w:t>
      </w:r>
      <w:r w:rsidR="00F0584B">
        <w:rPr>
          <w:rFonts w:ascii="Georgia" w:hAnsi="Georgia" w:cs="Calibri"/>
          <w:bCs/>
        </w:rPr>
        <w:t xml:space="preserve">better safety-profiles, </w:t>
      </w:r>
      <w:r w:rsidR="001C4966">
        <w:rPr>
          <w:rFonts w:ascii="Georgia" w:hAnsi="Georgia" w:cs="Calibri"/>
          <w:bCs/>
        </w:rPr>
        <w:t>long</w:t>
      </w:r>
      <w:r w:rsidR="0086100D">
        <w:rPr>
          <w:rFonts w:ascii="Georgia" w:hAnsi="Georgia" w:cs="Calibri"/>
          <w:bCs/>
        </w:rPr>
        <w:t>er</w:t>
      </w:r>
      <w:r w:rsidR="001C4966">
        <w:rPr>
          <w:rFonts w:ascii="Georgia" w:hAnsi="Georgia" w:cs="Calibri"/>
          <w:bCs/>
        </w:rPr>
        <w:t>-lasting effects</w:t>
      </w:r>
      <w:r w:rsidR="00F0584B">
        <w:rPr>
          <w:rFonts w:ascii="Georgia" w:hAnsi="Georgia" w:cs="Calibri"/>
          <w:bCs/>
        </w:rPr>
        <w:t>, among other benefits.</w:t>
      </w:r>
    </w:p>
    <w:p w14:paraId="23EFC921" w14:textId="428346BC" w:rsidR="00C36A28" w:rsidRDefault="005E35B1" w:rsidP="001039DD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In this process of identifying new chemical entities, Bright Minds </w:t>
      </w:r>
      <w:r w:rsidR="000C0AC4">
        <w:rPr>
          <w:rFonts w:ascii="Georgia" w:hAnsi="Georgia" w:cs="Calibri"/>
          <w:bCs/>
        </w:rPr>
        <w:t>found themselves with</w:t>
      </w:r>
      <w:r>
        <w:rPr>
          <w:rFonts w:ascii="Georgia" w:hAnsi="Georgia" w:cs="Calibri"/>
          <w:bCs/>
        </w:rPr>
        <w:t xml:space="preserve"> </w:t>
      </w:r>
      <w:r w:rsidR="000C1AD4">
        <w:rPr>
          <w:rFonts w:ascii="Georgia" w:hAnsi="Georgia" w:cs="Calibri"/>
          <w:bCs/>
        </w:rPr>
        <w:t xml:space="preserve">a portfolio of selective serotonin </w:t>
      </w:r>
      <w:r w:rsidR="000C1AD4" w:rsidRPr="000C1AD4">
        <w:rPr>
          <w:rFonts w:ascii="Georgia" w:hAnsi="Georgia" w:cs="Calibri"/>
          <w:bCs/>
        </w:rPr>
        <w:t xml:space="preserve">(5-HT2C and 5-HT2C/A-receptor subtypes) </w:t>
      </w:r>
      <w:r w:rsidR="000C1AD4">
        <w:rPr>
          <w:rFonts w:ascii="Georgia" w:hAnsi="Georgia" w:cs="Calibri"/>
          <w:bCs/>
        </w:rPr>
        <w:t xml:space="preserve">agonists </w:t>
      </w:r>
      <w:r w:rsidR="00EA1BFE">
        <w:rPr>
          <w:rFonts w:ascii="Georgia" w:hAnsi="Georgia" w:cs="Calibri"/>
          <w:bCs/>
        </w:rPr>
        <w:t xml:space="preserve">that were identified using high-throughput screening methods in combination with advanced molecular modeling techniques to interrogate </w:t>
      </w:r>
      <w:r w:rsidR="00C36A28">
        <w:rPr>
          <w:rFonts w:ascii="Georgia" w:hAnsi="Georgia" w:cs="Calibri"/>
          <w:bCs/>
        </w:rPr>
        <w:t xml:space="preserve">the interaction between the drug and its targeted receptors to increase downstream signaling while avoiding off-target effects. </w:t>
      </w:r>
    </w:p>
    <w:p w14:paraId="63CA8778" w14:textId="4AC9520A" w:rsidR="001824C4" w:rsidRDefault="00C36A28" w:rsidP="001039DD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One of these NCEs was </w:t>
      </w:r>
      <w:r w:rsidR="00564A04">
        <w:rPr>
          <w:rFonts w:ascii="Georgia" w:hAnsi="Georgia" w:cs="Calibri"/>
          <w:bCs/>
        </w:rPr>
        <w:t xml:space="preserve">a compound </w:t>
      </w:r>
      <w:r w:rsidR="005E35B1">
        <w:rPr>
          <w:rFonts w:ascii="Georgia" w:hAnsi="Georgia" w:cs="Calibri"/>
          <w:bCs/>
        </w:rPr>
        <w:t xml:space="preserve">which they ended up </w:t>
      </w:r>
      <w:r>
        <w:rPr>
          <w:rFonts w:ascii="Georgia" w:hAnsi="Georgia" w:cs="Calibri"/>
          <w:bCs/>
        </w:rPr>
        <w:t xml:space="preserve">naming </w:t>
      </w:r>
      <w:r w:rsidR="005E35B1">
        <w:rPr>
          <w:rFonts w:ascii="Georgia" w:hAnsi="Georgia" w:cs="Calibri"/>
          <w:bCs/>
        </w:rPr>
        <w:t>“BMB-101”</w:t>
      </w:r>
      <w:r>
        <w:rPr>
          <w:rFonts w:ascii="Georgia" w:hAnsi="Georgia" w:cs="Calibri"/>
          <w:bCs/>
        </w:rPr>
        <w:t>, a highly</w:t>
      </w:r>
      <w:r w:rsidR="008122BE">
        <w:rPr>
          <w:rFonts w:ascii="Georgia" w:hAnsi="Georgia" w:cs="Calibri"/>
          <w:bCs/>
        </w:rPr>
        <w:t xml:space="preserve"> </w:t>
      </w:r>
      <w:r>
        <w:rPr>
          <w:rFonts w:ascii="Georgia" w:hAnsi="Georgia" w:cs="Calibri"/>
          <w:bCs/>
        </w:rPr>
        <w:t>selective 5HT2C agonist</w:t>
      </w:r>
      <w:r w:rsidR="00325465">
        <w:rPr>
          <w:rFonts w:ascii="Georgia" w:hAnsi="Georgia" w:cs="Calibri"/>
          <w:bCs/>
        </w:rPr>
        <w:t xml:space="preserve"> </w:t>
      </w:r>
      <w:r w:rsidR="00325465">
        <w:rPr>
          <w:rFonts w:ascii="Georgia" w:hAnsi="Georgia" w:cs="Calibri"/>
          <w:bCs/>
        </w:rPr>
        <w:t>(which will be the focus of th</w:t>
      </w:r>
      <w:r w:rsidR="00C92BA3">
        <w:rPr>
          <w:rFonts w:ascii="Georgia" w:hAnsi="Georgia" w:cs="Calibri"/>
          <w:bCs/>
        </w:rPr>
        <w:t>is</w:t>
      </w:r>
      <w:r w:rsidR="00325465">
        <w:rPr>
          <w:rFonts w:ascii="Georgia" w:hAnsi="Georgia" w:cs="Calibri"/>
          <w:bCs/>
        </w:rPr>
        <w:t xml:space="preserve"> report)</w:t>
      </w:r>
      <w:r w:rsidR="00914F70">
        <w:rPr>
          <w:rFonts w:ascii="Georgia" w:hAnsi="Georgia" w:cs="Calibri"/>
          <w:bCs/>
        </w:rPr>
        <w:t>.</w:t>
      </w:r>
    </w:p>
    <w:p w14:paraId="62D53E93" w14:textId="12442863" w:rsidR="0078436F" w:rsidRDefault="001824C4" w:rsidP="001039DD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After the recent </w:t>
      </w:r>
      <w:r w:rsidR="00C92BA3">
        <w:rPr>
          <w:rFonts w:ascii="Georgia" w:hAnsi="Georgia" w:cs="Calibri"/>
          <w:bCs/>
        </w:rPr>
        <w:t>success of similar compounds</w:t>
      </w:r>
      <w:r>
        <w:rPr>
          <w:rFonts w:ascii="Georgia" w:hAnsi="Georgia" w:cs="Calibri"/>
          <w:bCs/>
        </w:rPr>
        <w:t xml:space="preserve">, the company </w:t>
      </w:r>
      <w:proofErr w:type="gramStart"/>
      <w:r w:rsidR="00C92BA3">
        <w:rPr>
          <w:rFonts w:ascii="Georgia" w:hAnsi="Georgia" w:cs="Calibri"/>
          <w:bCs/>
        </w:rPr>
        <w:t xml:space="preserve">seems </w:t>
      </w:r>
      <w:r>
        <w:rPr>
          <w:rFonts w:ascii="Georgia" w:hAnsi="Georgia" w:cs="Calibri"/>
          <w:bCs/>
        </w:rPr>
        <w:t>to be</w:t>
      </w:r>
      <w:proofErr w:type="gramEnd"/>
      <w:r>
        <w:rPr>
          <w:rFonts w:ascii="Georgia" w:hAnsi="Georgia" w:cs="Calibri"/>
          <w:bCs/>
        </w:rPr>
        <w:t xml:space="preserve"> focusing its resources </w:t>
      </w:r>
      <w:r w:rsidR="00647524">
        <w:rPr>
          <w:rFonts w:ascii="Georgia" w:hAnsi="Georgia" w:cs="Calibri"/>
          <w:bCs/>
        </w:rPr>
        <w:t>on</w:t>
      </w:r>
      <w:r>
        <w:rPr>
          <w:rFonts w:ascii="Georgia" w:hAnsi="Georgia" w:cs="Calibri"/>
          <w:bCs/>
        </w:rPr>
        <w:t xml:space="preserve"> </w:t>
      </w:r>
      <w:r w:rsidR="00C92BA3">
        <w:rPr>
          <w:rFonts w:ascii="Georgia" w:hAnsi="Georgia" w:cs="Calibri"/>
          <w:bCs/>
        </w:rPr>
        <w:t xml:space="preserve">the </w:t>
      </w:r>
      <w:r>
        <w:rPr>
          <w:rFonts w:ascii="Georgia" w:hAnsi="Georgia" w:cs="Calibri"/>
          <w:bCs/>
        </w:rPr>
        <w:t>development</w:t>
      </w:r>
      <w:r w:rsidR="001039DD">
        <w:rPr>
          <w:rFonts w:ascii="Georgia" w:hAnsi="Georgia" w:cs="Calibri"/>
          <w:bCs/>
        </w:rPr>
        <w:t xml:space="preserve"> </w:t>
      </w:r>
      <w:r w:rsidR="00C92BA3">
        <w:rPr>
          <w:rFonts w:ascii="Georgia" w:hAnsi="Georgia" w:cs="Calibri"/>
          <w:bCs/>
        </w:rPr>
        <w:t xml:space="preserve">of BMB-101 </w:t>
      </w:r>
      <w:r>
        <w:rPr>
          <w:rFonts w:ascii="Georgia" w:hAnsi="Georgia" w:cs="Calibri"/>
          <w:bCs/>
        </w:rPr>
        <w:t xml:space="preserve">while </w:t>
      </w:r>
      <w:r w:rsidR="0054588D">
        <w:rPr>
          <w:rFonts w:ascii="Georgia" w:hAnsi="Georgia" w:cs="Calibri"/>
          <w:bCs/>
        </w:rPr>
        <w:t>deprioritizing other assets</w:t>
      </w:r>
      <w:r w:rsidR="00C92BA3">
        <w:rPr>
          <w:rFonts w:ascii="Georgia" w:hAnsi="Georgia" w:cs="Calibri"/>
          <w:bCs/>
        </w:rPr>
        <w:t xml:space="preserve">. </w:t>
      </w:r>
      <w:proofErr w:type="gramStart"/>
      <w:r w:rsidR="00C92BA3">
        <w:rPr>
          <w:rFonts w:ascii="Georgia" w:hAnsi="Georgia" w:cs="Calibri"/>
          <w:bCs/>
        </w:rPr>
        <w:t>A</w:t>
      </w:r>
      <w:r w:rsidR="0054588D">
        <w:rPr>
          <w:rFonts w:ascii="Georgia" w:hAnsi="Georgia" w:cs="Calibri"/>
          <w:bCs/>
        </w:rPr>
        <w:t xml:space="preserve"> value</w:t>
      </w:r>
      <w:proofErr w:type="gramEnd"/>
      <w:r w:rsidR="0054588D">
        <w:rPr>
          <w:rFonts w:ascii="Georgia" w:hAnsi="Georgia" w:cs="Calibri"/>
          <w:bCs/>
        </w:rPr>
        <w:t xml:space="preserve"> of 0$ will </w:t>
      </w:r>
      <w:proofErr w:type="gramStart"/>
      <w:r w:rsidR="0054588D">
        <w:rPr>
          <w:rFonts w:ascii="Georgia" w:hAnsi="Georgia" w:cs="Calibri"/>
          <w:bCs/>
        </w:rPr>
        <w:t>be attributed</w:t>
      </w:r>
      <w:proofErr w:type="gramEnd"/>
      <w:r w:rsidR="0054588D">
        <w:rPr>
          <w:rFonts w:ascii="Georgia" w:hAnsi="Georgia" w:cs="Calibri"/>
          <w:bCs/>
        </w:rPr>
        <w:t xml:space="preserve"> to the company’s entire pipeline, </w:t>
      </w:r>
      <w:r w:rsidR="00C92BA3">
        <w:rPr>
          <w:rFonts w:ascii="Georgia" w:hAnsi="Georgia" w:cs="Calibri"/>
          <w:bCs/>
        </w:rPr>
        <w:t>except for</w:t>
      </w:r>
      <w:r w:rsidR="0054588D">
        <w:rPr>
          <w:rFonts w:ascii="Georgia" w:hAnsi="Georgia" w:cs="Calibri"/>
          <w:bCs/>
        </w:rPr>
        <w:t xml:space="preserve"> BMB-101</w:t>
      </w:r>
      <w:r w:rsidR="000A0A35">
        <w:rPr>
          <w:rFonts w:ascii="Georgia" w:hAnsi="Georgia" w:cs="Calibri"/>
          <w:bCs/>
        </w:rPr>
        <w:t>.</w:t>
      </w:r>
    </w:p>
    <w:p w14:paraId="4995CD66" w14:textId="009ADF5F" w:rsidR="0066051E" w:rsidRDefault="00412DCD" w:rsidP="00556FD2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$DRUG’s </w:t>
      </w:r>
      <w:r w:rsidR="002A6CAA">
        <w:rPr>
          <w:rFonts w:ascii="Georgia" w:hAnsi="Georgia" w:cs="Calibri"/>
          <w:bCs/>
        </w:rPr>
        <w:t>CEO</w:t>
      </w:r>
      <w:r>
        <w:rPr>
          <w:rFonts w:ascii="Georgia" w:hAnsi="Georgia" w:cs="Calibri"/>
          <w:bCs/>
        </w:rPr>
        <w:t xml:space="preserve"> </w:t>
      </w:r>
      <w:r w:rsidR="002A6CAA">
        <w:rPr>
          <w:rFonts w:ascii="Georgia" w:hAnsi="Georgia" w:cs="Calibri"/>
          <w:bCs/>
        </w:rPr>
        <w:t xml:space="preserve">is Ian McDonald, a previous Investment Banker </w:t>
      </w:r>
      <w:r w:rsidR="006E38F4">
        <w:rPr>
          <w:rFonts w:ascii="Georgia" w:hAnsi="Georgia" w:cs="Calibri"/>
          <w:bCs/>
        </w:rPr>
        <w:t xml:space="preserve">with </w:t>
      </w:r>
      <w:r w:rsidR="002A6CAA">
        <w:rPr>
          <w:rFonts w:ascii="Georgia" w:hAnsi="Georgia" w:cs="Calibri"/>
          <w:bCs/>
        </w:rPr>
        <w:t>vast experience in the M&amp;A</w:t>
      </w:r>
      <w:r w:rsidR="004058FD">
        <w:rPr>
          <w:rFonts w:ascii="Georgia" w:hAnsi="Georgia" w:cs="Calibri"/>
          <w:bCs/>
        </w:rPr>
        <w:t xml:space="preserve"> and</w:t>
      </w:r>
      <w:r w:rsidR="00036C7C">
        <w:rPr>
          <w:rFonts w:ascii="Georgia" w:hAnsi="Georgia" w:cs="Calibri"/>
          <w:bCs/>
        </w:rPr>
        <w:t xml:space="preserve"> </w:t>
      </w:r>
      <w:r w:rsidR="0037561D">
        <w:rPr>
          <w:rFonts w:ascii="Georgia" w:hAnsi="Georgia" w:cs="Calibri"/>
          <w:bCs/>
        </w:rPr>
        <w:t xml:space="preserve">capital raising </w:t>
      </w:r>
      <w:r w:rsidR="004058FD">
        <w:rPr>
          <w:rFonts w:ascii="Georgia" w:hAnsi="Georgia" w:cs="Calibri"/>
          <w:bCs/>
        </w:rPr>
        <w:t>world</w:t>
      </w:r>
      <w:r w:rsidR="005A098E">
        <w:rPr>
          <w:rFonts w:ascii="Georgia" w:hAnsi="Georgia" w:cs="Calibri"/>
          <w:bCs/>
        </w:rPr>
        <w:t>s</w:t>
      </w:r>
      <w:r w:rsidR="004058FD">
        <w:rPr>
          <w:rFonts w:ascii="Georgia" w:hAnsi="Georgia" w:cs="Calibri"/>
          <w:bCs/>
        </w:rPr>
        <w:t xml:space="preserve"> </w:t>
      </w:r>
      <w:r w:rsidR="0037561D">
        <w:rPr>
          <w:rFonts w:ascii="Georgia" w:hAnsi="Georgia" w:cs="Calibri"/>
          <w:bCs/>
        </w:rPr>
        <w:t xml:space="preserve">(having </w:t>
      </w:r>
      <w:r w:rsidR="00A515A8">
        <w:rPr>
          <w:rFonts w:ascii="Georgia" w:hAnsi="Georgia" w:cs="Calibri"/>
          <w:bCs/>
        </w:rPr>
        <w:t>helped raise</w:t>
      </w:r>
      <w:r w:rsidR="0037561D">
        <w:rPr>
          <w:rFonts w:ascii="Georgia" w:hAnsi="Georgia" w:cs="Calibri"/>
          <w:bCs/>
        </w:rPr>
        <w:t xml:space="preserve"> hundreds of millions for his clients</w:t>
      </w:r>
      <w:r w:rsidR="00A515A8">
        <w:rPr>
          <w:rFonts w:ascii="Georgia" w:hAnsi="Georgia" w:cs="Calibri"/>
          <w:bCs/>
        </w:rPr>
        <w:t xml:space="preserve"> in the </w:t>
      </w:r>
      <w:r w:rsidR="008122BE">
        <w:rPr>
          <w:rFonts w:ascii="Georgia" w:hAnsi="Georgia" w:cs="Calibri"/>
          <w:bCs/>
        </w:rPr>
        <w:t>Canadian Investment</w:t>
      </w:r>
      <w:r w:rsidR="00A515A8">
        <w:rPr>
          <w:rFonts w:ascii="Georgia" w:hAnsi="Georgia" w:cs="Calibri"/>
          <w:bCs/>
        </w:rPr>
        <w:t xml:space="preserve"> Bank</w:t>
      </w:r>
      <w:r w:rsidR="008122BE">
        <w:rPr>
          <w:rFonts w:ascii="Georgia" w:hAnsi="Georgia" w:cs="Calibri"/>
          <w:bCs/>
        </w:rPr>
        <w:t xml:space="preserve"> he worked at</w:t>
      </w:r>
      <w:r w:rsidR="0037561D">
        <w:rPr>
          <w:rFonts w:ascii="Georgia" w:hAnsi="Georgia" w:cs="Calibri"/>
          <w:bCs/>
        </w:rPr>
        <w:t>)</w:t>
      </w:r>
      <w:r w:rsidR="00036C7C">
        <w:rPr>
          <w:rFonts w:ascii="Georgia" w:hAnsi="Georgia" w:cs="Calibri"/>
          <w:bCs/>
        </w:rPr>
        <w:t xml:space="preserve"> - </w:t>
      </w:r>
      <w:r w:rsidR="002A6CAA">
        <w:rPr>
          <w:rFonts w:ascii="Georgia" w:hAnsi="Georgia" w:cs="Calibri"/>
          <w:bCs/>
        </w:rPr>
        <w:t xml:space="preserve">Mr. McDonald </w:t>
      </w:r>
      <w:r w:rsidR="00036C7C">
        <w:rPr>
          <w:rFonts w:ascii="Georgia" w:hAnsi="Georgia" w:cs="Calibri"/>
          <w:bCs/>
        </w:rPr>
        <w:t xml:space="preserve">also </w:t>
      </w:r>
      <w:r w:rsidR="002A6CAA">
        <w:rPr>
          <w:rFonts w:ascii="Georgia" w:hAnsi="Georgia" w:cs="Calibri"/>
          <w:bCs/>
        </w:rPr>
        <w:t xml:space="preserve">sold </w:t>
      </w:r>
      <w:r w:rsidR="0004329E">
        <w:rPr>
          <w:rFonts w:ascii="Georgia" w:hAnsi="Georgia" w:cs="Calibri"/>
          <w:bCs/>
        </w:rPr>
        <w:t xml:space="preserve">a Canadian Mining company for $160M within 1 year of </w:t>
      </w:r>
      <w:r w:rsidR="000E2749">
        <w:rPr>
          <w:rFonts w:ascii="Georgia" w:hAnsi="Georgia" w:cs="Calibri"/>
          <w:bCs/>
        </w:rPr>
        <w:t>starting this task</w:t>
      </w:r>
      <w:r>
        <w:rPr>
          <w:rFonts w:ascii="Georgia" w:hAnsi="Georgia" w:cs="Calibri"/>
          <w:bCs/>
        </w:rPr>
        <w:t xml:space="preserve">. </w:t>
      </w:r>
      <w:r w:rsidR="00087332">
        <w:rPr>
          <w:rFonts w:ascii="Georgia" w:hAnsi="Georgia" w:cs="Calibri"/>
          <w:bCs/>
        </w:rPr>
        <w:t xml:space="preserve">In multiple interviews, </w:t>
      </w:r>
      <w:r w:rsidR="00913EF8">
        <w:rPr>
          <w:rFonts w:ascii="Georgia" w:hAnsi="Georgia" w:cs="Calibri"/>
          <w:bCs/>
        </w:rPr>
        <w:t xml:space="preserve">he </w:t>
      </w:r>
      <w:r w:rsidR="0061719F">
        <w:rPr>
          <w:rFonts w:ascii="Georgia" w:hAnsi="Georgia" w:cs="Calibri"/>
          <w:bCs/>
        </w:rPr>
        <w:t xml:space="preserve">has </w:t>
      </w:r>
      <w:r w:rsidR="00087332">
        <w:rPr>
          <w:rFonts w:ascii="Georgia" w:hAnsi="Georgia" w:cs="Calibri"/>
          <w:bCs/>
        </w:rPr>
        <w:t xml:space="preserve">said </w:t>
      </w:r>
      <w:r w:rsidR="00913EF8">
        <w:rPr>
          <w:rFonts w:ascii="Georgia" w:hAnsi="Georgia" w:cs="Calibri"/>
          <w:bCs/>
        </w:rPr>
        <w:t xml:space="preserve">in a </w:t>
      </w:r>
      <w:r w:rsidR="00087332">
        <w:rPr>
          <w:rFonts w:ascii="Georgia" w:hAnsi="Georgia" w:cs="Calibri"/>
          <w:bCs/>
        </w:rPr>
        <w:t>very straight-forward</w:t>
      </w:r>
      <w:r w:rsidR="00D931D2">
        <w:rPr>
          <w:rFonts w:ascii="Georgia" w:hAnsi="Georgia" w:cs="Calibri"/>
          <w:bCs/>
        </w:rPr>
        <w:t xml:space="preserve"> manner </w:t>
      </w:r>
      <w:r w:rsidR="0061719F">
        <w:rPr>
          <w:rFonts w:ascii="Georgia" w:hAnsi="Georgia" w:cs="Calibri"/>
          <w:bCs/>
        </w:rPr>
        <w:t xml:space="preserve">that </w:t>
      </w:r>
      <w:r w:rsidR="00087332">
        <w:rPr>
          <w:rFonts w:ascii="Georgia" w:hAnsi="Georgia" w:cs="Calibri"/>
          <w:bCs/>
        </w:rPr>
        <w:t xml:space="preserve">Bright Minds Biosciences’ job is in the clinic and that </w:t>
      </w:r>
      <w:r w:rsidR="00503178">
        <w:rPr>
          <w:rFonts w:ascii="Georgia" w:hAnsi="Georgia" w:cs="Calibri"/>
          <w:bCs/>
        </w:rPr>
        <w:t>commercialization is more suitable for big, established pharma</w:t>
      </w:r>
      <w:r w:rsidR="0067415D">
        <w:rPr>
          <w:rFonts w:ascii="Georgia" w:hAnsi="Georgia" w:cs="Calibri"/>
          <w:bCs/>
        </w:rPr>
        <w:t xml:space="preserve"> companies (even highlighting the option of selling the entire company).</w:t>
      </w:r>
      <w:r w:rsidR="0061719F">
        <w:rPr>
          <w:rFonts w:ascii="Georgia" w:hAnsi="Georgia" w:cs="Calibri"/>
          <w:bCs/>
        </w:rPr>
        <w:t xml:space="preserve"> </w:t>
      </w:r>
    </w:p>
    <w:p w14:paraId="6802AD6B" w14:textId="77777777" w:rsidR="00FA681D" w:rsidRDefault="00FA681D" w:rsidP="00474080">
      <w:pPr>
        <w:rPr>
          <w:rFonts w:ascii="Georgia" w:hAnsi="Georgia" w:cs="Calibri"/>
          <w:bCs/>
        </w:rPr>
      </w:pPr>
    </w:p>
    <w:p w14:paraId="3F2B7F8F" w14:textId="5AD8BF16" w:rsidR="000670C6" w:rsidRPr="00DB18EC" w:rsidRDefault="00FA681D" w:rsidP="00F13B69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 xml:space="preserve">BMB-101, </w:t>
      </w:r>
      <w:r w:rsidR="009C79DA">
        <w:rPr>
          <w:rFonts w:ascii="Georgia" w:hAnsi="Georgia" w:cs="Calibri"/>
          <w:b/>
          <w:u w:val="single"/>
        </w:rPr>
        <w:t>5</w:t>
      </w:r>
      <w:r w:rsidR="001679BD">
        <w:rPr>
          <w:rFonts w:ascii="Georgia" w:hAnsi="Georgia" w:cs="Calibri"/>
          <w:b/>
          <w:u w:val="single"/>
        </w:rPr>
        <w:t>-</w:t>
      </w:r>
      <w:r w:rsidR="009C79DA">
        <w:rPr>
          <w:rFonts w:ascii="Georgia" w:hAnsi="Georgia" w:cs="Calibri"/>
          <w:b/>
          <w:u w:val="single"/>
        </w:rPr>
        <w:t xml:space="preserve">HT2C </w:t>
      </w:r>
      <w:r w:rsidR="001679BD">
        <w:rPr>
          <w:rFonts w:ascii="Georgia" w:hAnsi="Georgia" w:cs="Calibri"/>
          <w:b/>
          <w:u w:val="single"/>
        </w:rPr>
        <w:t xml:space="preserve">Receptor </w:t>
      </w:r>
      <w:r w:rsidR="00BC1B72">
        <w:rPr>
          <w:rFonts w:ascii="Georgia" w:hAnsi="Georgia" w:cs="Calibri"/>
          <w:b/>
          <w:u w:val="single"/>
        </w:rPr>
        <w:t>A</w:t>
      </w:r>
      <w:r w:rsidR="009C79DA">
        <w:rPr>
          <w:rFonts w:ascii="Georgia" w:hAnsi="Georgia" w:cs="Calibri"/>
          <w:b/>
          <w:u w:val="single"/>
        </w:rPr>
        <w:t>gonism</w:t>
      </w:r>
    </w:p>
    <w:p w14:paraId="512C01F6" w14:textId="77777777" w:rsidR="00986F51" w:rsidRDefault="009C79DA" w:rsidP="00986F51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  <w:r w:rsidR="00B50401" w:rsidRPr="00B50401">
        <w:rPr>
          <w:rFonts w:ascii="Georgia" w:hAnsi="Georgia" w:cs="Calibri"/>
          <w:bCs/>
        </w:rPr>
        <w:t>The 5-HT2C receptor, a G protein-coupled receptor (GPCR), emerged as a potential target for epilepsy treatment due to its role in modulating neurotransmitter release and neuronal excitability.</w:t>
      </w:r>
      <w:r w:rsidR="00986F51">
        <w:rPr>
          <w:rFonts w:ascii="Georgia" w:hAnsi="Georgia" w:cs="Calibri"/>
          <w:bCs/>
        </w:rPr>
        <w:t xml:space="preserve"> </w:t>
      </w:r>
    </w:p>
    <w:p w14:paraId="5589259A" w14:textId="519B62D9" w:rsidR="009C79DA" w:rsidRDefault="0033750D" w:rsidP="00986F51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BMB-101 is a highly </w:t>
      </w:r>
      <w:r w:rsidR="001679BD">
        <w:rPr>
          <w:rFonts w:ascii="Georgia" w:hAnsi="Georgia" w:cs="Calibri"/>
          <w:bCs/>
        </w:rPr>
        <w:t xml:space="preserve">selective 5-HT2C agonist </w:t>
      </w:r>
      <w:r w:rsidR="00815165">
        <w:rPr>
          <w:rFonts w:ascii="Georgia" w:hAnsi="Georgia" w:cs="Calibri"/>
          <w:bCs/>
        </w:rPr>
        <w:t xml:space="preserve">in early-stage development for its clinical benefit in </w:t>
      </w:r>
      <w:r w:rsidR="00B112CF">
        <w:rPr>
          <w:rFonts w:ascii="Georgia" w:hAnsi="Georgia" w:cs="Calibri"/>
          <w:bCs/>
        </w:rPr>
        <w:t xml:space="preserve">Developmental and Epileptic Encephalopathies (DEEs) such as </w:t>
      </w:r>
      <w:r w:rsidR="00385BD3">
        <w:rPr>
          <w:rFonts w:ascii="Georgia" w:hAnsi="Georgia" w:cs="Calibri"/>
          <w:bCs/>
        </w:rPr>
        <w:t xml:space="preserve">Dravet Syndrome, Jeavons Syndrome and Lennox </w:t>
      </w:r>
      <w:proofErr w:type="spellStart"/>
      <w:r w:rsidR="00385BD3">
        <w:rPr>
          <w:rFonts w:ascii="Georgia" w:hAnsi="Georgia" w:cs="Calibri"/>
          <w:bCs/>
        </w:rPr>
        <w:t>Gastaut</w:t>
      </w:r>
      <w:proofErr w:type="spellEnd"/>
      <w:r w:rsidR="00385BD3">
        <w:rPr>
          <w:rFonts w:ascii="Georgia" w:hAnsi="Georgia" w:cs="Calibri"/>
          <w:bCs/>
        </w:rPr>
        <w:t xml:space="preserve"> Syndrome.</w:t>
      </w:r>
    </w:p>
    <w:p w14:paraId="1672CC7C" w14:textId="2FE9B3EF" w:rsidR="00385BD3" w:rsidRDefault="00385BD3" w:rsidP="00453572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lastRenderedPageBreak/>
        <w:tab/>
        <w:t xml:space="preserve">The drug is currently </w:t>
      </w:r>
      <w:r w:rsidR="002D4DF2">
        <w:rPr>
          <w:rFonts w:ascii="Georgia" w:hAnsi="Georgia" w:cs="Calibri"/>
          <w:bCs/>
        </w:rPr>
        <w:t xml:space="preserve">in a </w:t>
      </w:r>
      <w:r w:rsidR="003C0598">
        <w:rPr>
          <w:rFonts w:ascii="Georgia" w:hAnsi="Georgia" w:cs="Calibri"/>
          <w:bCs/>
        </w:rPr>
        <w:t>10-week</w:t>
      </w:r>
      <w:r w:rsidR="00063FAF">
        <w:rPr>
          <w:rFonts w:ascii="Georgia" w:hAnsi="Georgia" w:cs="Calibri"/>
          <w:bCs/>
        </w:rPr>
        <w:t xml:space="preserve"> </w:t>
      </w:r>
      <w:r w:rsidR="002D4DF2">
        <w:rPr>
          <w:rFonts w:ascii="Georgia" w:hAnsi="Georgia" w:cs="Calibri"/>
          <w:bCs/>
        </w:rPr>
        <w:t xml:space="preserve">Phase II Open-Label study </w:t>
      </w:r>
      <w:r w:rsidR="009145ED">
        <w:rPr>
          <w:rFonts w:ascii="Georgia" w:hAnsi="Georgia" w:cs="Calibri"/>
          <w:bCs/>
        </w:rPr>
        <w:t xml:space="preserve">with </w:t>
      </w:r>
      <w:proofErr w:type="gramStart"/>
      <w:r w:rsidR="009145ED">
        <w:rPr>
          <w:rFonts w:ascii="Georgia" w:hAnsi="Georgia" w:cs="Calibri"/>
          <w:bCs/>
        </w:rPr>
        <w:t>20</w:t>
      </w:r>
      <w:proofErr w:type="gramEnd"/>
      <w:r w:rsidR="009145ED">
        <w:rPr>
          <w:rFonts w:ascii="Georgia" w:hAnsi="Georgia" w:cs="Calibri"/>
          <w:bCs/>
        </w:rPr>
        <w:t xml:space="preserve"> patients.</w:t>
      </w:r>
      <w:r w:rsidR="00453572">
        <w:rPr>
          <w:rFonts w:ascii="Georgia" w:hAnsi="Georgia" w:cs="Calibri"/>
          <w:bCs/>
        </w:rPr>
        <w:t xml:space="preserve"> The results of this study will be </w:t>
      </w:r>
      <w:r w:rsidR="00886C78">
        <w:rPr>
          <w:rFonts w:ascii="Georgia" w:hAnsi="Georgia" w:cs="Calibri"/>
          <w:bCs/>
        </w:rPr>
        <w:t xml:space="preserve">first evidence of BMB-101’s </w:t>
      </w:r>
      <w:r w:rsidR="00BF75E4">
        <w:rPr>
          <w:rFonts w:ascii="Georgia" w:hAnsi="Georgia" w:cs="Calibri"/>
          <w:bCs/>
        </w:rPr>
        <w:t>value</w:t>
      </w:r>
      <w:r w:rsidR="00886C78">
        <w:rPr>
          <w:rFonts w:ascii="Georgia" w:hAnsi="Georgia" w:cs="Calibri"/>
          <w:bCs/>
        </w:rPr>
        <w:t xml:space="preserve"> in the treatment of DEEs.</w:t>
      </w:r>
    </w:p>
    <w:p w14:paraId="76BD20EA" w14:textId="21564D46" w:rsidR="0066051E" w:rsidRDefault="009145ED" w:rsidP="0066051E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  <w:t xml:space="preserve">Previous Phase I RCTs </w:t>
      </w:r>
      <w:r w:rsidR="001A07DD">
        <w:rPr>
          <w:rFonts w:ascii="Georgia" w:hAnsi="Georgia" w:cs="Calibri"/>
          <w:bCs/>
        </w:rPr>
        <w:t xml:space="preserve">(SAD and MAD studies, n=66 total) </w:t>
      </w:r>
      <w:r>
        <w:rPr>
          <w:rFonts w:ascii="Georgia" w:hAnsi="Georgia" w:cs="Calibri"/>
          <w:bCs/>
        </w:rPr>
        <w:t xml:space="preserve">demonstrated </w:t>
      </w:r>
      <w:r w:rsidR="001A07DD">
        <w:rPr>
          <w:rFonts w:ascii="Georgia" w:hAnsi="Georgia" w:cs="Calibri"/>
          <w:bCs/>
        </w:rPr>
        <w:t xml:space="preserve">BMB-101 is well-tolerated </w:t>
      </w:r>
      <w:r w:rsidR="00453572">
        <w:rPr>
          <w:rFonts w:ascii="Georgia" w:hAnsi="Georgia" w:cs="Calibri"/>
          <w:bCs/>
        </w:rPr>
        <w:t xml:space="preserve">and has </w:t>
      </w:r>
      <w:r w:rsidR="00184B57">
        <w:rPr>
          <w:rFonts w:ascii="Georgia" w:hAnsi="Georgia" w:cs="Calibri"/>
          <w:bCs/>
        </w:rPr>
        <w:t xml:space="preserve">a </w:t>
      </w:r>
      <w:r w:rsidR="00453572">
        <w:rPr>
          <w:rFonts w:ascii="Georgia" w:hAnsi="Georgia" w:cs="Calibri"/>
          <w:bCs/>
        </w:rPr>
        <w:t xml:space="preserve">pharmacokinetics </w:t>
      </w:r>
      <w:r w:rsidR="00184B57">
        <w:rPr>
          <w:rFonts w:ascii="Georgia" w:hAnsi="Georgia" w:cs="Calibri"/>
          <w:bCs/>
        </w:rPr>
        <w:t xml:space="preserve">profile </w:t>
      </w:r>
      <w:r w:rsidR="00453572">
        <w:rPr>
          <w:rFonts w:ascii="Georgia" w:hAnsi="Georgia" w:cs="Calibri"/>
          <w:bCs/>
        </w:rPr>
        <w:t>suitable for twice-daily dosing.</w:t>
      </w:r>
    </w:p>
    <w:p w14:paraId="091B87DA" w14:textId="77777777" w:rsidR="00BC1B72" w:rsidRDefault="00BC1B72" w:rsidP="0066051E">
      <w:pPr>
        <w:jc w:val="both"/>
        <w:rPr>
          <w:rFonts w:ascii="Georgia" w:hAnsi="Georgia" w:cs="Calibri"/>
          <w:bCs/>
        </w:rPr>
      </w:pPr>
    </w:p>
    <w:p w14:paraId="41D59911" w14:textId="58213551" w:rsidR="00BC1B72" w:rsidRPr="00C11112" w:rsidRDefault="00BC1B72" w:rsidP="00BC1B72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 xml:space="preserve">Other 5-HT2C </w:t>
      </w:r>
      <w:r w:rsidR="00736C1C">
        <w:rPr>
          <w:rFonts w:ascii="Georgia" w:hAnsi="Georgia" w:cs="Calibri"/>
          <w:b/>
          <w:u w:val="single"/>
        </w:rPr>
        <w:t>A</w:t>
      </w:r>
      <w:r>
        <w:rPr>
          <w:rFonts w:ascii="Georgia" w:hAnsi="Georgia" w:cs="Calibri"/>
          <w:b/>
          <w:u w:val="single"/>
        </w:rPr>
        <w:t xml:space="preserve">gonists Work in the treatment of </w:t>
      </w:r>
      <w:proofErr w:type="gramStart"/>
      <w:r>
        <w:rPr>
          <w:rFonts w:ascii="Georgia" w:hAnsi="Georgia" w:cs="Calibri"/>
          <w:b/>
          <w:u w:val="single"/>
        </w:rPr>
        <w:t>DEEs</w:t>
      </w:r>
      <w:proofErr w:type="gramEnd"/>
    </w:p>
    <w:p w14:paraId="55DAD3E5" w14:textId="46D42FFB" w:rsidR="0066051E" w:rsidRDefault="00736C1C" w:rsidP="00023BAF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BMB-101 is not the first 5-HT2C agonist to have been clinically </w:t>
      </w:r>
      <w:proofErr w:type="gramStart"/>
      <w:r>
        <w:rPr>
          <w:rFonts w:ascii="Georgia" w:hAnsi="Georgia" w:cs="Calibri"/>
          <w:bCs/>
        </w:rPr>
        <w:t>tested</w:t>
      </w:r>
      <w:proofErr w:type="gramEnd"/>
      <w:r>
        <w:rPr>
          <w:rFonts w:ascii="Georgia" w:hAnsi="Georgia" w:cs="Calibri"/>
          <w:bCs/>
        </w:rPr>
        <w:t xml:space="preserve"> for epilepsy:</w:t>
      </w:r>
    </w:p>
    <w:p w14:paraId="08F8B9AD" w14:textId="1FB12A8B" w:rsidR="00736C1C" w:rsidRDefault="00736C1C" w:rsidP="00023BAF">
      <w:pPr>
        <w:pStyle w:val="PargrafodaLista"/>
        <w:numPr>
          <w:ilvl w:val="0"/>
          <w:numId w:val="15"/>
        </w:num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Longboard Pharmaceuticals</w:t>
      </w:r>
      <w:r w:rsidR="00564447">
        <w:rPr>
          <w:rFonts w:ascii="Georgia" w:hAnsi="Georgia" w:cs="Calibri"/>
          <w:bCs/>
        </w:rPr>
        <w:t xml:space="preserve"> ($LBPH)</w:t>
      </w:r>
      <w:r>
        <w:rPr>
          <w:rFonts w:ascii="Georgia" w:hAnsi="Georgia" w:cs="Calibri"/>
          <w:bCs/>
        </w:rPr>
        <w:t xml:space="preserve"> </w:t>
      </w:r>
      <w:r w:rsidR="00FC0CE0">
        <w:rPr>
          <w:rFonts w:ascii="Georgia" w:hAnsi="Georgia" w:cs="Calibri"/>
          <w:bCs/>
        </w:rPr>
        <w:t xml:space="preserve">developed </w:t>
      </w:r>
      <w:proofErr w:type="spellStart"/>
      <w:r w:rsidR="00FC0CE0">
        <w:rPr>
          <w:rFonts w:ascii="Georgia" w:hAnsi="Georgia" w:cs="Calibri"/>
          <w:bCs/>
        </w:rPr>
        <w:t>bexicaserin</w:t>
      </w:r>
      <w:proofErr w:type="spellEnd"/>
      <w:r w:rsidR="003054B9">
        <w:rPr>
          <w:rFonts w:ascii="Georgia" w:hAnsi="Georgia" w:cs="Calibri"/>
          <w:bCs/>
        </w:rPr>
        <w:t xml:space="preserve"> (best comparison for BMB-101 for reasons that will be discussed in this paper)</w:t>
      </w:r>
      <w:r w:rsidR="00FC0CE0">
        <w:rPr>
          <w:rFonts w:ascii="Georgia" w:hAnsi="Georgia" w:cs="Calibri"/>
          <w:bCs/>
        </w:rPr>
        <w:t xml:space="preserve">, </w:t>
      </w:r>
      <w:r w:rsidR="00564447">
        <w:rPr>
          <w:rFonts w:ascii="Georgia" w:hAnsi="Georgia" w:cs="Calibri"/>
          <w:bCs/>
        </w:rPr>
        <w:t xml:space="preserve">which showed a placebo-adjusted reduction in seizure frequency of 32.5% in a Phase 1b/2 </w:t>
      </w:r>
      <w:r w:rsidR="00D10BFC">
        <w:rPr>
          <w:rFonts w:ascii="Georgia" w:hAnsi="Georgia" w:cs="Calibri"/>
          <w:bCs/>
        </w:rPr>
        <w:t xml:space="preserve">RCT </w:t>
      </w:r>
      <w:r w:rsidR="00D63AD8">
        <w:rPr>
          <w:rFonts w:ascii="Georgia" w:hAnsi="Georgia" w:cs="Calibri"/>
          <w:bCs/>
        </w:rPr>
        <w:t xml:space="preserve">(PACIFIC study) </w:t>
      </w:r>
      <w:r w:rsidR="00D10BFC">
        <w:rPr>
          <w:rFonts w:ascii="Georgia" w:hAnsi="Georgia" w:cs="Calibri"/>
          <w:bCs/>
        </w:rPr>
        <w:t>in adolescents and adults with DEEs</w:t>
      </w:r>
      <w:r w:rsidR="00D63AD8">
        <w:rPr>
          <w:rFonts w:ascii="Georgia" w:hAnsi="Georgia" w:cs="Calibri"/>
          <w:bCs/>
        </w:rPr>
        <w:t>.</w:t>
      </w:r>
    </w:p>
    <w:p w14:paraId="21EC408E" w14:textId="0594148F" w:rsidR="00BC1B72" w:rsidRDefault="00D63AD8" w:rsidP="00023BAF">
      <w:pPr>
        <w:pStyle w:val="PargrafodaLista"/>
        <w:numPr>
          <w:ilvl w:val="0"/>
          <w:numId w:val="15"/>
        </w:numPr>
        <w:jc w:val="both"/>
        <w:rPr>
          <w:rFonts w:ascii="Georgia" w:hAnsi="Georgia" w:cs="Calibri"/>
          <w:bCs/>
        </w:rPr>
      </w:pPr>
      <w:proofErr w:type="spellStart"/>
      <w:r>
        <w:rPr>
          <w:rFonts w:ascii="Georgia" w:hAnsi="Georgia" w:cs="Calibri"/>
          <w:bCs/>
        </w:rPr>
        <w:t>Lorcaserin</w:t>
      </w:r>
      <w:proofErr w:type="spellEnd"/>
      <w:r>
        <w:rPr>
          <w:rFonts w:ascii="Georgia" w:hAnsi="Georgia" w:cs="Calibri"/>
          <w:bCs/>
        </w:rPr>
        <w:t xml:space="preserve"> and Nor-Fenflura</w:t>
      </w:r>
      <w:r w:rsidR="00FF250D">
        <w:rPr>
          <w:rFonts w:ascii="Georgia" w:hAnsi="Georgia" w:cs="Calibri"/>
          <w:bCs/>
        </w:rPr>
        <w:t xml:space="preserve">mine </w:t>
      </w:r>
      <w:r w:rsidR="003054B9">
        <w:rPr>
          <w:rFonts w:ascii="Georgia" w:hAnsi="Georgia" w:cs="Calibri"/>
          <w:bCs/>
        </w:rPr>
        <w:t xml:space="preserve">are </w:t>
      </w:r>
      <w:r w:rsidR="00434C54">
        <w:rPr>
          <w:rFonts w:ascii="Georgia" w:hAnsi="Georgia" w:cs="Calibri"/>
          <w:bCs/>
        </w:rPr>
        <w:t>less selective for 5-</w:t>
      </w:r>
      <w:proofErr w:type="gramStart"/>
      <w:r w:rsidR="00434C54">
        <w:rPr>
          <w:rFonts w:ascii="Georgia" w:hAnsi="Georgia" w:cs="Calibri"/>
          <w:bCs/>
        </w:rPr>
        <w:t>HT2C, but</w:t>
      </w:r>
      <w:proofErr w:type="gramEnd"/>
      <w:r w:rsidR="00434C54">
        <w:rPr>
          <w:rFonts w:ascii="Georgia" w:hAnsi="Georgia" w:cs="Calibri"/>
          <w:bCs/>
        </w:rPr>
        <w:t xml:space="preserve"> have also proven useful in the treatment of DEEs.</w:t>
      </w:r>
    </w:p>
    <w:p w14:paraId="263D461C" w14:textId="5DADF2C0" w:rsidR="00EF1F54" w:rsidRDefault="00EF1F54" w:rsidP="00023BAF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5-HT2C Agonists</w:t>
      </w:r>
      <w:r w:rsidR="00F07B1B">
        <w:rPr>
          <w:rFonts w:ascii="Georgia" w:hAnsi="Georgia" w:cs="Calibri"/>
          <w:bCs/>
        </w:rPr>
        <w:t xml:space="preserve"> have consistently shown competitive efficacy in comparison to that of </w:t>
      </w:r>
      <w:r w:rsidR="006F612E">
        <w:rPr>
          <w:rFonts w:ascii="Georgia" w:hAnsi="Georgia" w:cs="Calibri"/>
          <w:bCs/>
        </w:rPr>
        <w:t>other Anti-</w:t>
      </w:r>
      <w:r w:rsidR="0068676B">
        <w:rPr>
          <w:rFonts w:ascii="Georgia" w:hAnsi="Georgia" w:cs="Calibri"/>
          <w:bCs/>
        </w:rPr>
        <w:t>Seizure</w:t>
      </w:r>
      <w:r w:rsidR="006F612E">
        <w:rPr>
          <w:rFonts w:ascii="Georgia" w:hAnsi="Georgia" w:cs="Calibri"/>
          <w:bCs/>
        </w:rPr>
        <w:t xml:space="preserve"> </w:t>
      </w:r>
      <w:r w:rsidR="0068676B">
        <w:rPr>
          <w:rFonts w:ascii="Georgia" w:hAnsi="Georgia" w:cs="Calibri"/>
          <w:bCs/>
        </w:rPr>
        <w:t xml:space="preserve">Medications </w:t>
      </w:r>
      <w:r w:rsidR="006F612E">
        <w:rPr>
          <w:rFonts w:ascii="Georgia" w:hAnsi="Georgia" w:cs="Calibri"/>
          <w:bCs/>
        </w:rPr>
        <w:t>(A</w:t>
      </w:r>
      <w:r w:rsidR="0068676B">
        <w:rPr>
          <w:rFonts w:ascii="Georgia" w:hAnsi="Georgia" w:cs="Calibri"/>
          <w:bCs/>
        </w:rPr>
        <w:t>SM</w:t>
      </w:r>
      <w:r w:rsidR="006F612E">
        <w:rPr>
          <w:rFonts w:ascii="Georgia" w:hAnsi="Georgia" w:cs="Calibri"/>
          <w:bCs/>
        </w:rPr>
        <w:t>s) with different targets (Sodium channel inhibitors, Potassium channel activators, …)</w:t>
      </w:r>
    </w:p>
    <w:p w14:paraId="02CC3AC6" w14:textId="77777777" w:rsidR="001A1EE6" w:rsidRDefault="001A1EE6" w:rsidP="001A1EE6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887EA10" wp14:editId="063DA134">
            <wp:extent cx="5168601" cy="2922909"/>
            <wp:effectExtent l="0" t="0" r="0" b="0"/>
            <wp:docPr id="3" name="Imagem 2" descr="asdsadas&#10;">
              <a:extLst xmlns:a="http://schemas.openxmlformats.org/drawingml/2006/main">
                <a:ext uri="{FF2B5EF4-FFF2-40B4-BE49-F238E27FC236}">
                  <a16:creationId xmlns:a16="http://schemas.microsoft.com/office/drawing/2014/main" id="{2541DF91-AFBA-388B-3483-6C3529BCA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asdsadas&#10;">
                      <a:extLst>
                        <a:ext uri="{FF2B5EF4-FFF2-40B4-BE49-F238E27FC236}">
                          <a16:creationId xmlns:a16="http://schemas.microsoft.com/office/drawing/2014/main" id="{2541DF91-AFBA-388B-3483-6C3529BCAF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291" cy="29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CD2" w14:textId="3C9E3102" w:rsidR="00BC1B72" w:rsidRPr="00627429" w:rsidRDefault="001A1EE6" w:rsidP="00627429">
      <w:pPr>
        <w:pStyle w:val="Legenda"/>
        <w:jc w:val="center"/>
        <w:rPr>
          <w:rFonts w:ascii="Georgia" w:hAnsi="Georgia" w:cs="Calibri"/>
          <w:bCs/>
        </w:rPr>
      </w:pPr>
      <w:r>
        <w:t xml:space="preserve">Figure </w:t>
      </w:r>
      <w:fldSimple w:instr=" SEQ Figure \* ARABIC ">
        <w:r w:rsidR="00F10511">
          <w:rPr>
            <w:noProof/>
          </w:rPr>
          <w:t>1</w:t>
        </w:r>
      </w:fldSimple>
      <w:r>
        <w:t>. 5-</w:t>
      </w:r>
      <w:r w:rsidR="00627429">
        <w:t>HT2C agonists in comparison with other AEDs</w:t>
      </w:r>
    </w:p>
    <w:p w14:paraId="2E2CC6F7" w14:textId="77777777" w:rsidR="00A5784F" w:rsidRDefault="00A5784F" w:rsidP="00C11112">
      <w:pPr>
        <w:jc w:val="center"/>
        <w:rPr>
          <w:rFonts w:ascii="Georgia" w:hAnsi="Georgia" w:cs="Calibri"/>
          <w:b/>
          <w:u w:val="single"/>
        </w:rPr>
      </w:pPr>
    </w:p>
    <w:p w14:paraId="19720A99" w14:textId="3B89BD37" w:rsidR="00491777" w:rsidRPr="00C11112" w:rsidRDefault="00C2695F" w:rsidP="00C11112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lastRenderedPageBreak/>
        <w:t>5-HT2C Agonist Comparison</w:t>
      </w:r>
    </w:p>
    <w:p w14:paraId="00684447" w14:textId="61D102CE" w:rsidR="00EA32FD" w:rsidRDefault="00C2695F" w:rsidP="00314476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Between the previously mentioned </w:t>
      </w:r>
      <w:r w:rsidR="00AF0BB5">
        <w:rPr>
          <w:rFonts w:ascii="Georgia" w:hAnsi="Georgia" w:cs="Calibri"/>
          <w:bCs/>
        </w:rPr>
        <w:t xml:space="preserve">compounds (BMB-101, </w:t>
      </w:r>
      <w:proofErr w:type="spellStart"/>
      <w:r w:rsidR="00AF0BB5">
        <w:rPr>
          <w:rFonts w:ascii="Georgia" w:hAnsi="Georgia" w:cs="Calibri"/>
          <w:bCs/>
        </w:rPr>
        <w:t>bexicaserin</w:t>
      </w:r>
      <w:proofErr w:type="spellEnd"/>
      <w:r w:rsidR="00AF0BB5">
        <w:rPr>
          <w:rFonts w:ascii="Georgia" w:hAnsi="Georgia" w:cs="Calibri"/>
          <w:bCs/>
        </w:rPr>
        <w:t xml:space="preserve">, nor-fenfluramine, </w:t>
      </w:r>
      <w:proofErr w:type="spellStart"/>
      <w:r w:rsidR="00AF0BB5">
        <w:rPr>
          <w:rFonts w:ascii="Georgia" w:hAnsi="Georgia" w:cs="Calibri"/>
          <w:bCs/>
        </w:rPr>
        <w:t>lorcaserin</w:t>
      </w:r>
      <w:proofErr w:type="spellEnd"/>
      <w:r w:rsidR="00AF0BB5">
        <w:rPr>
          <w:rFonts w:ascii="Georgia" w:hAnsi="Georgia" w:cs="Calibri"/>
          <w:bCs/>
        </w:rPr>
        <w:t xml:space="preserve">), </w:t>
      </w:r>
      <w:proofErr w:type="gramStart"/>
      <w:r w:rsidR="00AF0BB5">
        <w:rPr>
          <w:rFonts w:ascii="Georgia" w:hAnsi="Georgia" w:cs="Calibri"/>
          <w:bCs/>
        </w:rPr>
        <w:t>some</w:t>
      </w:r>
      <w:proofErr w:type="gramEnd"/>
      <w:r w:rsidR="00AF0BB5">
        <w:rPr>
          <w:rFonts w:ascii="Georgia" w:hAnsi="Georgia" w:cs="Calibri"/>
          <w:bCs/>
        </w:rPr>
        <w:t xml:space="preserve"> key characteristics distinguish their potential </w:t>
      </w:r>
      <w:r w:rsidR="00D81417">
        <w:rPr>
          <w:rFonts w:ascii="Georgia" w:hAnsi="Georgia" w:cs="Calibri"/>
          <w:bCs/>
        </w:rPr>
        <w:t>as Anti-Seizure Medications (ASMs)</w:t>
      </w:r>
      <w:r w:rsidR="005A289D">
        <w:rPr>
          <w:rFonts w:ascii="Georgia" w:hAnsi="Georgia" w:cs="Calibri"/>
          <w:bCs/>
        </w:rPr>
        <w:t>.</w:t>
      </w:r>
    </w:p>
    <w:p w14:paraId="00E5C9E4" w14:textId="3CBAF9B0" w:rsidR="005A289D" w:rsidRDefault="005A289D" w:rsidP="00314476">
      <w:pPr>
        <w:jc w:val="both"/>
        <w:rPr>
          <w:rFonts w:ascii="Georgia" w:hAnsi="Georgia" w:cs="Calibri"/>
          <w:bCs/>
          <w:u w:val="single"/>
        </w:rPr>
      </w:pPr>
      <w:r>
        <w:rPr>
          <w:rFonts w:ascii="Georgia" w:hAnsi="Georgia" w:cs="Calibri"/>
          <w:bCs/>
          <w:u w:val="single"/>
        </w:rPr>
        <w:t>Selectivity</w:t>
      </w:r>
      <w:r w:rsidR="00B03F65">
        <w:rPr>
          <w:rFonts w:ascii="Georgia" w:hAnsi="Georgia" w:cs="Calibri"/>
          <w:bCs/>
          <w:u w:val="single"/>
        </w:rPr>
        <w:t xml:space="preserve"> and Affinity</w:t>
      </w:r>
    </w:p>
    <w:p w14:paraId="10F472F6" w14:textId="77777777" w:rsidR="00F94B89" w:rsidRDefault="005A289D" w:rsidP="00F94B89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  <w:t>Targeting</w:t>
      </w:r>
      <w:r w:rsidR="001C24D9">
        <w:rPr>
          <w:rFonts w:ascii="Georgia" w:hAnsi="Georgia" w:cs="Calibri"/>
          <w:bCs/>
        </w:rPr>
        <w:t xml:space="preserve"> </w:t>
      </w:r>
      <w:r>
        <w:rPr>
          <w:rFonts w:ascii="Georgia" w:hAnsi="Georgia" w:cs="Calibri"/>
          <w:bCs/>
        </w:rPr>
        <w:t xml:space="preserve">of other serotonin </w:t>
      </w:r>
      <w:proofErr w:type="spellStart"/>
      <w:r>
        <w:rPr>
          <w:rFonts w:ascii="Georgia" w:hAnsi="Georgia" w:cs="Calibri"/>
          <w:bCs/>
        </w:rPr>
        <w:t>recepetors</w:t>
      </w:r>
      <w:proofErr w:type="spellEnd"/>
      <w:r>
        <w:rPr>
          <w:rFonts w:ascii="Georgia" w:hAnsi="Georgia" w:cs="Calibri"/>
          <w:bCs/>
        </w:rPr>
        <w:t xml:space="preserve"> (</w:t>
      </w:r>
      <w:proofErr w:type="gramStart"/>
      <w:r w:rsidR="00812130">
        <w:rPr>
          <w:rFonts w:ascii="Georgia" w:hAnsi="Georgia" w:cs="Calibri"/>
          <w:bCs/>
        </w:rPr>
        <w:t xml:space="preserve">mainly </w:t>
      </w:r>
      <w:r>
        <w:rPr>
          <w:rFonts w:ascii="Georgia" w:hAnsi="Georgia" w:cs="Calibri"/>
          <w:bCs/>
        </w:rPr>
        <w:t>5-HT2A</w:t>
      </w:r>
      <w:proofErr w:type="gramEnd"/>
      <w:r>
        <w:rPr>
          <w:rFonts w:ascii="Georgia" w:hAnsi="Georgia" w:cs="Calibri"/>
          <w:bCs/>
        </w:rPr>
        <w:t xml:space="preserve"> and 5-HT2B) </w:t>
      </w:r>
      <w:r w:rsidR="001C24D9">
        <w:rPr>
          <w:rFonts w:ascii="Georgia" w:hAnsi="Georgia" w:cs="Calibri"/>
          <w:bCs/>
        </w:rPr>
        <w:t xml:space="preserve">due to a lack of selectivity for the 5-HT2C receptor brings with it unwanted adverse events. </w:t>
      </w:r>
      <w:r w:rsidR="00A408A2">
        <w:rPr>
          <w:rFonts w:ascii="Georgia" w:hAnsi="Georgia" w:cs="Calibri"/>
          <w:bCs/>
        </w:rPr>
        <w:t xml:space="preserve">5-HT2A is responsible for psychedelic properties, and 5-HT2B </w:t>
      </w:r>
      <w:r w:rsidR="00314476">
        <w:rPr>
          <w:rFonts w:ascii="Georgia" w:hAnsi="Georgia" w:cs="Calibri"/>
          <w:bCs/>
        </w:rPr>
        <w:t xml:space="preserve">contributes </w:t>
      </w:r>
      <w:r w:rsidR="00314476" w:rsidRPr="00314476">
        <w:rPr>
          <w:rFonts w:ascii="Georgia" w:hAnsi="Georgia" w:cs="Calibri"/>
          <w:bCs/>
        </w:rPr>
        <w:t>to valvular heart disease</w:t>
      </w:r>
      <w:r w:rsidR="00A95C48">
        <w:rPr>
          <w:rFonts w:ascii="Georgia" w:hAnsi="Georgia" w:cs="Calibri"/>
          <w:bCs/>
        </w:rPr>
        <w:t>.</w:t>
      </w:r>
    </w:p>
    <w:p w14:paraId="304CFBE0" w14:textId="12DB8085" w:rsidR="00C20947" w:rsidRDefault="005A289D" w:rsidP="00F94B89">
      <w:pPr>
        <w:ind w:firstLine="72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The following table presents </w:t>
      </w:r>
      <w:r w:rsidR="00995430">
        <w:rPr>
          <w:rFonts w:ascii="Georgia" w:hAnsi="Georgia" w:cs="Calibri"/>
          <w:bCs/>
        </w:rPr>
        <w:t xml:space="preserve">the affinity and selectivity of </w:t>
      </w:r>
      <w:r w:rsidR="00CB51DB">
        <w:rPr>
          <w:rFonts w:ascii="Georgia" w:hAnsi="Georgia" w:cs="Calibri"/>
          <w:bCs/>
        </w:rPr>
        <w:t>each compound for receptors 5-HT2A, 5-HT2B, and 5-HT2C.</w:t>
      </w:r>
      <w:r w:rsidR="00F94B89">
        <w:rPr>
          <w:rFonts w:ascii="Georgia" w:hAnsi="Georgia" w:cs="Calibri"/>
          <w:bCs/>
        </w:rPr>
        <w:t xml:space="preserve"> </w:t>
      </w:r>
    </w:p>
    <w:p w14:paraId="1B65362C" w14:textId="77777777" w:rsidR="00F91182" w:rsidRDefault="00F91182" w:rsidP="00F91182">
      <w:pPr>
        <w:keepNext/>
        <w:ind w:firstLine="720"/>
        <w:jc w:val="center"/>
      </w:pPr>
      <w:r w:rsidRPr="00F91182">
        <w:rPr>
          <w:rFonts w:ascii="Georgia" w:hAnsi="Georgia" w:cs="Calibri"/>
          <w:bCs/>
        </w:rPr>
        <w:drawing>
          <wp:inline distT="0" distB="0" distL="0" distR="0" wp14:anchorId="1F84E5DD" wp14:editId="0074368C">
            <wp:extent cx="5182323" cy="1743318"/>
            <wp:effectExtent l="0" t="0" r="0" b="9525"/>
            <wp:docPr id="217377628" name="Imagem 1" descr="Uma imagem com texto, Tipo de letra, captura de ecrã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7628" name="Imagem 1" descr="Uma imagem com texto, Tipo de letra, captura de ecrã, númer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D827" w14:textId="2D68F87A" w:rsidR="00C20947" w:rsidRPr="005A289D" w:rsidRDefault="00F91182" w:rsidP="00F91182">
      <w:pPr>
        <w:pStyle w:val="Legenda"/>
        <w:jc w:val="center"/>
        <w:rPr>
          <w:rFonts w:ascii="Georgia" w:hAnsi="Georgia" w:cs="Calibri"/>
          <w:bCs/>
        </w:rPr>
      </w:pPr>
      <w:r>
        <w:t xml:space="preserve">Figure </w:t>
      </w:r>
      <w:fldSimple w:instr=" SEQ Figure \* ARABIC ">
        <w:r w:rsidR="00F10511">
          <w:rPr>
            <w:noProof/>
          </w:rPr>
          <w:t>2</w:t>
        </w:r>
      </w:fldSimple>
      <w:r>
        <w:t>. Affinity and Selectivity of each compound for Serotonin Receptors</w:t>
      </w:r>
    </w:p>
    <w:p w14:paraId="4B1EBF49" w14:textId="1637F056" w:rsidR="00BA026E" w:rsidRPr="00F91182" w:rsidRDefault="00F91182" w:rsidP="00435351">
      <w:pPr>
        <w:rPr>
          <w:rFonts w:ascii="Georgia" w:hAnsi="Georgia" w:cs="Calibri"/>
          <w:bCs/>
          <w:u w:val="single"/>
        </w:rPr>
      </w:pPr>
      <w:r>
        <w:rPr>
          <w:rFonts w:ascii="Georgia" w:hAnsi="Georgia" w:cs="Calibri"/>
          <w:bCs/>
          <w:u w:val="single"/>
        </w:rPr>
        <w:t>Dosing Regimen</w:t>
      </w:r>
    </w:p>
    <w:p w14:paraId="27D9AB81" w14:textId="23F950FF" w:rsidR="00BA026E" w:rsidRDefault="00281392" w:rsidP="00281392">
      <w:pPr>
        <w:ind w:firstLine="720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BMB-101 </w:t>
      </w:r>
      <w:proofErr w:type="gramStart"/>
      <w:r>
        <w:rPr>
          <w:rFonts w:ascii="Georgia" w:hAnsi="Georgia" w:cs="Calibri"/>
          <w:bCs/>
        </w:rPr>
        <w:t>is BID</w:t>
      </w:r>
      <w:proofErr w:type="gramEnd"/>
      <w:r>
        <w:rPr>
          <w:rFonts w:ascii="Georgia" w:hAnsi="Georgia" w:cs="Calibri"/>
          <w:bCs/>
        </w:rPr>
        <w:t xml:space="preserve"> (twice daily dosing)</w:t>
      </w:r>
    </w:p>
    <w:p w14:paraId="66F2A7E6" w14:textId="5E9686A2" w:rsidR="00281392" w:rsidRDefault="00600C04" w:rsidP="00281392">
      <w:pPr>
        <w:ind w:firstLine="720"/>
        <w:rPr>
          <w:rFonts w:ascii="Georgia" w:hAnsi="Georgia" w:cs="Calibri"/>
          <w:bCs/>
        </w:rPr>
      </w:pPr>
      <w:proofErr w:type="spellStart"/>
      <w:r>
        <w:rPr>
          <w:rFonts w:ascii="Georgia" w:hAnsi="Georgia" w:cs="Calibri"/>
          <w:bCs/>
        </w:rPr>
        <w:t>Bexicaserin</w:t>
      </w:r>
      <w:proofErr w:type="spellEnd"/>
      <w:r>
        <w:rPr>
          <w:rFonts w:ascii="Georgia" w:hAnsi="Georgia" w:cs="Calibri"/>
          <w:bCs/>
        </w:rPr>
        <w:t xml:space="preserve"> is TID (thrice daily dosing)</w:t>
      </w:r>
    </w:p>
    <w:p w14:paraId="2AB56CB0" w14:textId="30EA0D8D" w:rsidR="00281392" w:rsidRDefault="00281392" w:rsidP="00281392">
      <w:pPr>
        <w:ind w:firstLine="720"/>
        <w:rPr>
          <w:rFonts w:ascii="Georgia" w:hAnsi="Georgia" w:cs="Calibri"/>
          <w:bCs/>
        </w:rPr>
      </w:pPr>
      <w:proofErr w:type="spellStart"/>
      <w:r>
        <w:rPr>
          <w:rFonts w:ascii="Georgia" w:hAnsi="Georgia" w:cs="Calibri"/>
          <w:bCs/>
        </w:rPr>
        <w:t>Lorcaserin</w:t>
      </w:r>
      <w:proofErr w:type="spellEnd"/>
      <w:r>
        <w:rPr>
          <w:rFonts w:ascii="Georgia" w:hAnsi="Georgia" w:cs="Calibri"/>
          <w:bCs/>
        </w:rPr>
        <w:t xml:space="preserve"> </w:t>
      </w:r>
      <w:proofErr w:type="gramStart"/>
      <w:r>
        <w:rPr>
          <w:rFonts w:ascii="Georgia" w:hAnsi="Georgia" w:cs="Calibri"/>
          <w:bCs/>
        </w:rPr>
        <w:t>is BID</w:t>
      </w:r>
      <w:proofErr w:type="gramEnd"/>
      <w:r>
        <w:rPr>
          <w:rFonts w:ascii="Georgia" w:hAnsi="Georgia" w:cs="Calibri"/>
          <w:bCs/>
        </w:rPr>
        <w:t xml:space="preserve"> (twice daily dosing)</w:t>
      </w:r>
    </w:p>
    <w:p w14:paraId="7EE5F886" w14:textId="77777777" w:rsidR="00B86B29" w:rsidRDefault="00B86B29" w:rsidP="00435351">
      <w:pPr>
        <w:rPr>
          <w:rFonts w:ascii="Georgia" w:hAnsi="Georgia" w:cs="Calibri"/>
          <w:bCs/>
        </w:rPr>
      </w:pPr>
    </w:p>
    <w:p w14:paraId="5CB7749E" w14:textId="7E913450" w:rsidR="00671041" w:rsidRPr="0068676B" w:rsidRDefault="00356852" w:rsidP="0068676B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 xml:space="preserve">Estimating </w:t>
      </w:r>
      <w:r w:rsidR="0068676B">
        <w:rPr>
          <w:rFonts w:ascii="Georgia" w:hAnsi="Georgia" w:cs="Calibri"/>
          <w:b/>
          <w:u w:val="single"/>
        </w:rPr>
        <w:t>BMB-101</w:t>
      </w:r>
      <w:r>
        <w:rPr>
          <w:rFonts w:ascii="Georgia" w:hAnsi="Georgia" w:cs="Calibri"/>
          <w:b/>
          <w:u w:val="single"/>
        </w:rPr>
        <w:t xml:space="preserve">’s Value in the </w:t>
      </w:r>
      <w:r w:rsidR="0068676B">
        <w:rPr>
          <w:rFonts w:ascii="Georgia" w:hAnsi="Georgia" w:cs="Calibri"/>
          <w:b/>
          <w:u w:val="single"/>
        </w:rPr>
        <w:t xml:space="preserve">DEE </w:t>
      </w:r>
      <w:r>
        <w:rPr>
          <w:rFonts w:ascii="Georgia" w:hAnsi="Georgia" w:cs="Calibri"/>
          <w:b/>
          <w:u w:val="single"/>
        </w:rPr>
        <w:t>market</w:t>
      </w:r>
    </w:p>
    <w:p w14:paraId="612BE5EE" w14:textId="21CADE8D" w:rsidR="00671041" w:rsidRDefault="0068676B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Because there </w:t>
      </w:r>
      <w:r w:rsidR="00877A77">
        <w:rPr>
          <w:rFonts w:ascii="Georgia" w:hAnsi="Georgia" w:cs="Calibri"/>
          <w:bCs/>
        </w:rPr>
        <w:t xml:space="preserve">is a </w:t>
      </w:r>
      <w:r w:rsidR="000B5EB7">
        <w:rPr>
          <w:rFonts w:ascii="Georgia" w:hAnsi="Georgia" w:cs="Calibri"/>
          <w:bCs/>
        </w:rPr>
        <w:t xml:space="preserve">recent </w:t>
      </w:r>
      <w:r w:rsidR="00877A77">
        <w:rPr>
          <w:rFonts w:ascii="Georgia" w:hAnsi="Georgia" w:cs="Calibri"/>
          <w:bCs/>
        </w:rPr>
        <w:t xml:space="preserve">case of </w:t>
      </w:r>
      <w:r w:rsidR="008B3CC1">
        <w:rPr>
          <w:rFonts w:ascii="Georgia" w:hAnsi="Georgia" w:cs="Calibri"/>
          <w:bCs/>
        </w:rPr>
        <w:t xml:space="preserve">a company </w:t>
      </w:r>
      <w:r w:rsidR="000B5EB7">
        <w:rPr>
          <w:rFonts w:ascii="Georgia" w:hAnsi="Georgia" w:cs="Calibri"/>
          <w:bCs/>
        </w:rPr>
        <w:t>who</w:t>
      </w:r>
      <w:r w:rsidR="008B3CC1">
        <w:rPr>
          <w:rFonts w:ascii="Georgia" w:hAnsi="Georgia" w:cs="Calibri"/>
          <w:bCs/>
        </w:rPr>
        <w:t xml:space="preserve"> </w:t>
      </w:r>
      <w:r w:rsidR="000B5EB7">
        <w:rPr>
          <w:rFonts w:ascii="Georgia" w:hAnsi="Georgia" w:cs="Calibri"/>
          <w:bCs/>
        </w:rPr>
        <w:t>developed and subsequently sold their own 5-HT2C compound</w:t>
      </w:r>
      <w:r w:rsidR="008B3CC1">
        <w:rPr>
          <w:rFonts w:ascii="Georgia" w:hAnsi="Georgia" w:cs="Calibri"/>
          <w:bCs/>
        </w:rPr>
        <w:t xml:space="preserve">, </w:t>
      </w:r>
      <w:proofErr w:type="gramStart"/>
      <w:r w:rsidR="008B3CC1">
        <w:rPr>
          <w:rFonts w:ascii="Georgia" w:hAnsi="Georgia" w:cs="Calibri"/>
          <w:bCs/>
        </w:rPr>
        <w:t>an</w:t>
      </w:r>
      <w:proofErr w:type="gramEnd"/>
      <w:r w:rsidR="008B3CC1">
        <w:rPr>
          <w:rFonts w:ascii="Georgia" w:hAnsi="Georgia" w:cs="Calibri"/>
          <w:bCs/>
        </w:rPr>
        <w:t xml:space="preserve"> reasonable range of valuations for BMB-101 can be reached.</w:t>
      </w:r>
    </w:p>
    <w:p w14:paraId="6D3489E5" w14:textId="2F0A9F5F" w:rsidR="008B3CC1" w:rsidRDefault="008B3CC1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$LBPH, Longboard Pharmaceuticals</w:t>
      </w:r>
      <w:r w:rsidR="005A7993">
        <w:rPr>
          <w:rFonts w:ascii="Georgia" w:hAnsi="Georgia" w:cs="Calibri"/>
          <w:bCs/>
        </w:rPr>
        <w:t>,</w:t>
      </w:r>
      <w:r>
        <w:rPr>
          <w:rFonts w:ascii="Georgia" w:hAnsi="Georgia" w:cs="Calibri"/>
          <w:bCs/>
        </w:rPr>
        <w:t xml:space="preserve"> was a clinical-stage biotech that </w:t>
      </w:r>
      <w:r w:rsidR="0091041F">
        <w:rPr>
          <w:rFonts w:ascii="Georgia" w:hAnsi="Georgia" w:cs="Calibri"/>
          <w:bCs/>
        </w:rPr>
        <w:t xml:space="preserve">was acquired by Lundbeck </w:t>
      </w:r>
      <w:r w:rsidR="005A7993">
        <w:rPr>
          <w:rFonts w:ascii="Georgia" w:hAnsi="Georgia" w:cs="Calibri"/>
          <w:bCs/>
        </w:rPr>
        <w:t>in October 2024 for $2.6B</w:t>
      </w:r>
      <w:r w:rsidR="00795C73">
        <w:rPr>
          <w:rFonts w:ascii="Georgia" w:hAnsi="Georgia" w:cs="Calibri"/>
          <w:bCs/>
        </w:rPr>
        <w:t xml:space="preserve"> ($2.5B net of cash). The company’s only asset at this time was </w:t>
      </w:r>
      <w:proofErr w:type="spellStart"/>
      <w:r w:rsidR="00795C73">
        <w:rPr>
          <w:rFonts w:ascii="Georgia" w:hAnsi="Georgia" w:cs="Calibri"/>
          <w:bCs/>
        </w:rPr>
        <w:t>bexicaserin</w:t>
      </w:r>
      <w:proofErr w:type="spellEnd"/>
      <w:r w:rsidR="00795C73">
        <w:rPr>
          <w:rFonts w:ascii="Georgia" w:hAnsi="Georgia" w:cs="Calibri"/>
          <w:bCs/>
        </w:rPr>
        <w:t xml:space="preserve">, a </w:t>
      </w:r>
      <w:r w:rsidR="008108D7">
        <w:rPr>
          <w:rFonts w:ascii="Georgia" w:hAnsi="Georgia" w:cs="Calibri"/>
          <w:bCs/>
        </w:rPr>
        <w:t xml:space="preserve">selective 5-HT2C </w:t>
      </w:r>
      <w:proofErr w:type="spellStart"/>
      <w:r w:rsidR="008108D7">
        <w:rPr>
          <w:rFonts w:ascii="Georgia" w:hAnsi="Georgia" w:cs="Calibri"/>
          <w:bCs/>
        </w:rPr>
        <w:t>superagonist</w:t>
      </w:r>
      <w:proofErr w:type="spellEnd"/>
      <w:r w:rsidR="00D84BBC">
        <w:rPr>
          <w:rFonts w:ascii="Georgia" w:hAnsi="Georgia" w:cs="Calibri"/>
          <w:bCs/>
        </w:rPr>
        <w:t xml:space="preserve"> </w:t>
      </w:r>
      <w:r w:rsidR="007C32DD">
        <w:rPr>
          <w:rFonts w:ascii="Georgia" w:hAnsi="Georgia" w:cs="Calibri"/>
          <w:bCs/>
        </w:rPr>
        <w:t xml:space="preserve">which had undergone a randomized, double-blind, placebo-controlled Phase 1b/2 trial in which </w:t>
      </w:r>
      <w:r w:rsidR="007C32DD">
        <w:rPr>
          <w:rFonts w:ascii="Georgia" w:hAnsi="Georgia" w:cs="Calibri"/>
          <w:bCs/>
        </w:rPr>
        <w:lastRenderedPageBreak/>
        <w:t xml:space="preserve">it </w:t>
      </w:r>
      <w:r w:rsidR="00C82B21">
        <w:rPr>
          <w:rFonts w:ascii="Georgia" w:hAnsi="Georgia" w:cs="Calibri"/>
          <w:bCs/>
        </w:rPr>
        <w:t xml:space="preserve">showed </w:t>
      </w:r>
      <w:r w:rsidR="00C82B21">
        <w:rPr>
          <w:rFonts w:ascii="Georgia" w:hAnsi="Georgia" w:cs="Calibri"/>
          <w:bCs/>
        </w:rPr>
        <w:t>a placebo-adjusted reduction in seizure frequency of 32.5</w:t>
      </w:r>
      <w:r w:rsidR="00C82B21">
        <w:rPr>
          <w:rFonts w:ascii="Georgia" w:hAnsi="Georgia" w:cs="Calibri"/>
          <w:bCs/>
        </w:rPr>
        <w:t xml:space="preserve">%, and </w:t>
      </w:r>
      <w:r w:rsidR="00A56945">
        <w:rPr>
          <w:rFonts w:ascii="Georgia" w:hAnsi="Georgia" w:cs="Calibri"/>
          <w:bCs/>
        </w:rPr>
        <w:t xml:space="preserve">half of </w:t>
      </w:r>
      <w:r w:rsidR="00C82B21">
        <w:rPr>
          <w:rFonts w:ascii="Georgia" w:hAnsi="Georgia" w:cs="Calibri"/>
          <w:bCs/>
        </w:rPr>
        <w:t xml:space="preserve">a Phase 2 Open-label </w:t>
      </w:r>
      <w:r w:rsidR="00A56945">
        <w:rPr>
          <w:rFonts w:ascii="Georgia" w:hAnsi="Georgia" w:cs="Calibri"/>
          <w:bCs/>
        </w:rPr>
        <w:t xml:space="preserve">extension of the previously mentioned </w:t>
      </w:r>
      <w:r w:rsidR="00C82B21">
        <w:rPr>
          <w:rFonts w:ascii="Georgia" w:hAnsi="Georgia" w:cs="Calibri"/>
          <w:bCs/>
        </w:rPr>
        <w:t>trial</w:t>
      </w:r>
      <w:r w:rsidR="00A56945">
        <w:rPr>
          <w:rFonts w:ascii="Georgia" w:hAnsi="Georgia" w:cs="Calibri"/>
          <w:bCs/>
        </w:rPr>
        <w:t xml:space="preserve">. </w:t>
      </w:r>
    </w:p>
    <w:p w14:paraId="5F23380F" w14:textId="180E639F" w:rsidR="00C61B47" w:rsidRDefault="00C61B47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Previously to Lundbeck’s acquisition, the company already</w:t>
      </w:r>
      <w:r w:rsidR="007B280E">
        <w:rPr>
          <w:rFonts w:ascii="Georgia" w:hAnsi="Georgia" w:cs="Calibri"/>
          <w:bCs/>
        </w:rPr>
        <w:t xml:space="preserve"> had a 1.5B$ valuation (1.4B$ EV).</w:t>
      </w:r>
      <w:r w:rsidR="00863593">
        <w:rPr>
          <w:rFonts w:ascii="Georgia" w:hAnsi="Georgia" w:cs="Calibri"/>
          <w:bCs/>
        </w:rPr>
        <w:t xml:space="preserve"> </w:t>
      </w:r>
      <w:r w:rsidR="00863593" w:rsidRPr="00863593">
        <w:rPr>
          <w:rFonts w:ascii="Georgia" w:hAnsi="Georgia" w:cs="Calibri"/>
          <w:bCs/>
        </w:rPr>
        <w:t xml:space="preserve">When the first efficacy data for </w:t>
      </w:r>
      <w:proofErr w:type="spellStart"/>
      <w:r w:rsidR="00863593" w:rsidRPr="00863593">
        <w:rPr>
          <w:rFonts w:ascii="Georgia" w:hAnsi="Georgia" w:cs="Calibri"/>
          <w:bCs/>
        </w:rPr>
        <w:t>bexicaserin</w:t>
      </w:r>
      <w:proofErr w:type="spellEnd"/>
      <w:r w:rsidR="00863593" w:rsidRPr="00863593">
        <w:rPr>
          <w:rFonts w:ascii="Georgia" w:hAnsi="Georgia" w:cs="Calibri"/>
          <w:bCs/>
        </w:rPr>
        <w:t xml:space="preserve"> was announced (Phase 1b/2 readout), </w:t>
      </w:r>
      <w:r w:rsidR="00AD4690">
        <w:rPr>
          <w:rFonts w:ascii="Georgia" w:hAnsi="Georgia" w:cs="Calibri"/>
          <w:bCs/>
        </w:rPr>
        <w:t>$LBPH’s</w:t>
      </w:r>
      <w:r w:rsidR="00863593" w:rsidRPr="00863593">
        <w:rPr>
          <w:rFonts w:ascii="Georgia" w:hAnsi="Georgia" w:cs="Calibri"/>
          <w:bCs/>
        </w:rPr>
        <w:t xml:space="preserve"> share price increased from 6$ to 25$, a 740M$ </w:t>
      </w:r>
      <w:proofErr w:type="spellStart"/>
      <w:r w:rsidR="00863593" w:rsidRPr="00863593">
        <w:rPr>
          <w:rFonts w:ascii="Georgia" w:hAnsi="Georgia" w:cs="Calibri"/>
          <w:bCs/>
        </w:rPr>
        <w:t>marketcap</w:t>
      </w:r>
      <w:proofErr w:type="spellEnd"/>
      <w:r w:rsidR="00863593" w:rsidRPr="00863593">
        <w:rPr>
          <w:rFonts w:ascii="Georgia" w:hAnsi="Georgia" w:cs="Calibri"/>
          <w:bCs/>
        </w:rPr>
        <w:t xml:space="preserve"> increase</w:t>
      </w:r>
      <w:r w:rsidR="00071636">
        <w:rPr>
          <w:rFonts w:ascii="Georgia" w:hAnsi="Georgia" w:cs="Calibri"/>
          <w:bCs/>
        </w:rPr>
        <w:t xml:space="preserve"> in ~3 days</w:t>
      </w:r>
      <w:r w:rsidR="00863593">
        <w:rPr>
          <w:rFonts w:ascii="Georgia" w:hAnsi="Georgia" w:cs="Calibri"/>
          <w:bCs/>
        </w:rPr>
        <w:t>.</w:t>
      </w:r>
    </w:p>
    <w:p w14:paraId="211448B9" w14:textId="4A0D9A33" w:rsidR="007B280E" w:rsidRDefault="007B280E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Both </w:t>
      </w:r>
      <w:proofErr w:type="spellStart"/>
      <w:r w:rsidR="00FC743D">
        <w:rPr>
          <w:rFonts w:ascii="Georgia" w:hAnsi="Georgia" w:cs="Calibri"/>
          <w:bCs/>
        </w:rPr>
        <w:t>bexicaserin</w:t>
      </w:r>
      <w:proofErr w:type="spellEnd"/>
      <w:r w:rsidR="00FC743D">
        <w:rPr>
          <w:rFonts w:ascii="Georgia" w:hAnsi="Georgia" w:cs="Calibri"/>
          <w:bCs/>
        </w:rPr>
        <w:t xml:space="preserve"> and BMB-101’s IP Protection</w:t>
      </w:r>
      <w:r w:rsidR="00914EC3">
        <w:rPr>
          <w:rFonts w:ascii="Georgia" w:hAnsi="Georgia" w:cs="Calibri"/>
          <w:bCs/>
        </w:rPr>
        <w:t>s</w:t>
      </w:r>
      <w:r w:rsidR="00FC743D">
        <w:rPr>
          <w:rFonts w:ascii="Georgia" w:hAnsi="Georgia" w:cs="Calibri"/>
          <w:bCs/>
        </w:rPr>
        <w:t xml:space="preserve"> expire in 2041</w:t>
      </w:r>
      <w:r w:rsidR="00856D9C">
        <w:rPr>
          <w:rFonts w:ascii="Georgia" w:hAnsi="Georgia" w:cs="Calibri"/>
          <w:bCs/>
        </w:rPr>
        <w:t xml:space="preserve">, making them </w:t>
      </w:r>
      <w:r w:rsidR="004C77E4">
        <w:rPr>
          <w:rFonts w:ascii="Georgia" w:hAnsi="Georgia" w:cs="Calibri"/>
          <w:bCs/>
        </w:rPr>
        <w:t xml:space="preserve">even more </w:t>
      </w:r>
      <w:r w:rsidR="00856D9C">
        <w:rPr>
          <w:rFonts w:ascii="Georgia" w:hAnsi="Georgia" w:cs="Calibri"/>
          <w:bCs/>
        </w:rPr>
        <w:t>suitable for comparison</w:t>
      </w:r>
      <w:r w:rsidR="00FC743D">
        <w:rPr>
          <w:rFonts w:ascii="Georgia" w:hAnsi="Georgia" w:cs="Calibri"/>
          <w:bCs/>
        </w:rPr>
        <w:t>.</w:t>
      </w:r>
    </w:p>
    <w:p w14:paraId="4CE8A252" w14:textId="5758BD11" w:rsidR="00966C6D" w:rsidRDefault="00C61B47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Given the similarities between </w:t>
      </w:r>
      <w:proofErr w:type="spellStart"/>
      <w:r>
        <w:rPr>
          <w:rFonts w:ascii="Georgia" w:hAnsi="Georgia" w:cs="Calibri"/>
          <w:bCs/>
        </w:rPr>
        <w:t>bexicaserin</w:t>
      </w:r>
      <w:proofErr w:type="spellEnd"/>
      <w:r>
        <w:rPr>
          <w:rFonts w:ascii="Georgia" w:hAnsi="Georgia" w:cs="Calibri"/>
          <w:bCs/>
        </w:rPr>
        <w:t xml:space="preserve"> and </w:t>
      </w:r>
      <w:r w:rsidR="007B280E">
        <w:rPr>
          <w:rFonts w:ascii="Georgia" w:hAnsi="Georgia" w:cs="Calibri"/>
          <w:bCs/>
        </w:rPr>
        <w:t>BMB-</w:t>
      </w:r>
      <w:proofErr w:type="gramStart"/>
      <w:r w:rsidR="007B280E">
        <w:rPr>
          <w:rFonts w:ascii="Georgia" w:hAnsi="Georgia" w:cs="Calibri"/>
          <w:bCs/>
        </w:rPr>
        <w:t>101, and</w:t>
      </w:r>
      <w:proofErr w:type="gramEnd"/>
      <w:r w:rsidR="007B280E">
        <w:rPr>
          <w:rFonts w:ascii="Georgia" w:hAnsi="Georgia" w:cs="Calibri"/>
          <w:bCs/>
        </w:rPr>
        <w:t xml:space="preserve"> having in mind the </w:t>
      </w:r>
      <w:r w:rsidR="00FC743D">
        <w:rPr>
          <w:rFonts w:ascii="Georgia" w:hAnsi="Georgia" w:cs="Calibri"/>
          <w:bCs/>
        </w:rPr>
        <w:t>disparities between the valuation of the two (even excluding</w:t>
      </w:r>
      <w:r w:rsidR="00E56FD4">
        <w:rPr>
          <w:rFonts w:ascii="Georgia" w:hAnsi="Georgia" w:cs="Calibri"/>
          <w:bCs/>
        </w:rPr>
        <w:t xml:space="preserve"> the acquisition price</w:t>
      </w:r>
      <w:r w:rsidR="00E74B53">
        <w:rPr>
          <w:rFonts w:ascii="Georgia" w:hAnsi="Georgia" w:cs="Calibri"/>
          <w:bCs/>
        </w:rPr>
        <w:t xml:space="preserve">, </w:t>
      </w:r>
      <w:r w:rsidR="00455C47">
        <w:rPr>
          <w:rFonts w:ascii="Georgia" w:hAnsi="Georgia" w:cs="Calibri"/>
          <w:bCs/>
        </w:rPr>
        <w:t xml:space="preserve">a 500% difference) </w:t>
      </w:r>
      <w:r w:rsidR="00E56FD4">
        <w:rPr>
          <w:rFonts w:ascii="Georgia" w:hAnsi="Georgia" w:cs="Calibri"/>
          <w:bCs/>
        </w:rPr>
        <w:t xml:space="preserve">– </w:t>
      </w:r>
      <w:r w:rsidR="00FD4723">
        <w:rPr>
          <w:rFonts w:ascii="Georgia" w:hAnsi="Georgia" w:cs="Calibri"/>
          <w:bCs/>
        </w:rPr>
        <w:t xml:space="preserve">this phenomenon can only be explained by </w:t>
      </w:r>
      <w:r w:rsidR="00E56FD4">
        <w:rPr>
          <w:rFonts w:ascii="Georgia" w:hAnsi="Georgia" w:cs="Calibri"/>
          <w:bCs/>
        </w:rPr>
        <w:t>the market</w:t>
      </w:r>
      <w:r w:rsidR="00FD4723">
        <w:rPr>
          <w:rFonts w:ascii="Georgia" w:hAnsi="Georgia" w:cs="Calibri"/>
          <w:bCs/>
        </w:rPr>
        <w:t xml:space="preserve">’s uncertainty about </w:t>
      </w:r>
      <w:r w:rsidR="00E56FD4">
        <w:rPr>
          <w:rFonts w:ascii="Georgia" w:hAnsi="Georgia" w:cs="Calibri"/>
          <w:bCs/>
        </w:rPr>
        <w:t>BMB-101</w:t>
      </w:r>
      <w:r w:rsidR="00966C6D">
        <w:rPr>
          <w:rFonts w:ascii="Georgia" w:hAnsi="Georgia" w:cs="Calibri"/>
          <w:bCs/>
        </w:rPr>
        <w:t>’s efficacy.</w:t>
      </w:r>
    </w:p>
    <w:p w14:paraId="53BD78BD" w14:textId="1B6CC5FE" w:rsidR="001E1ED5" w:rsidRPr="001E1ED5" w:rsidRDefault="005E75E2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I am</w:t>
      </w:r>
      <w:r w:rsidR="00A163CD">
        <w:rPr>
          <w:rFonts w:ascii="Georgia" w:hAnsi="Georgia" w:cs="Calibri"/>
          <w:bCs/>
        </w:rPr>
        <w:t xml:space="preserve"> confident that BMB-101 will demonstrate equivalent efficacy to that of </w:t>
      </w:r>
      <w:proofErr w:type="spellStart"/>
      <w:r w:rsidR="00A163CD">
        <w:rPr>
          <w:rFonts w:ascii="Georgia" w:hAnsi="Georgia" w:cs="Calibri"/>
          <w:bCs/>
        </w:rPr>
        <w:t>bexicaserin</w:t>
      </w:r>
      <w:proofErr w:type="spellEnd"/>
      <w:r w:rsidR="00A163CD">
        <w:rPr>
          <w:rFonts w:ascii="Georgia" w:hAnsi="Georgia" w:cs="Calibri"/>
          <w:bCs/>
        </w:rPr>
        <w:t xml:space="preserve"> in this open-label trial (~</w:t>
      </w:r>
      <w:r w:rsidR="00A432D6">
        <w:rPr>
          <w:rFonts w:ascii="Georgia" w:hAnsi="Georgia" w:cs="Calibri"/>
          <w:bCs/>
        </w:rPr>
        <w:t>50</w:t>
      </w:r>
      <w:r w:rsidR="00A163CD">
        <w:rPr>
          <w:rFonts w:ascii="Georgia" w:hAnsi="Georgia" w:cs="Calibri"/>
          <w:bCs/>
        </w:rPr>
        <w:t>-</w:t>
      </w:r>
      <w:r w:rsidR="009E14BE">
        <w:rPr>
          <w:rFonts w:ascii="Georgia" w:hAnsi="Georgia" w:cs="Calibri"/>
          <w:bCs/>
        </w:rPr>
        <w:t>60</w:t>
      </w:r>
      <w:r w:rsidR="00A163CD">
        <w:rPr>
          <w:rFonts w:ascii="Georgia" w:hAnsi="Georgia" w:cs="Calibri"/>
          <w:bCs/>
        </w:rPr>
        <w:t>% reduction in seizure frequency, given there is no control group)</w:t>
      </w:r>
      <w:r w:rsidR="001E1ED5">
        <w:rPr>
          <w:rFonts w:ascii="Georgia" w:hAnsi="Georgia" w:cs="Calibri"/>
          <w:bCs/>
        </w:rPr>
        <w:t xml:space="preserve"> for the following reasons:</w:t>
      </w:r>
    </w:p>
    <w:p w14:paraId="3C025D1E" w14:textId="5E9F5BA5" w:rsidR="008B3CC1" w:rsidRDefault="001E1ED5" w:rsidP="009949F8">
      <w:pPr>
        <w:pStyle w:val="PargrafodaLista"/>
        <w:numPr>
          <w:ilvl w:val="0"/>
          <w:numId w:val="15"/>
        </w:num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Pre</w:t>
      </w:r>
      <w:r w:rsidR="001C7CA5">
        <w:rPr>
          <w:rFonts w:ascii="Georgia" w:hAnsi="Georgia" w:cs="Calibri"/>
          <w:bCs/>
        </w:rPr>
        <w:t>-</w:t>
      </w:r>
      <w:r>
        <w:rPr>
          <w:rFonts w:ascii="Georgia" w:hAnsi="Georgia" w:cs="Calibri"/>
          <w:bCs/>
        </w:rPr>
        <w:t xml:space="preserve">clinical models of Mice </w:t>
      </w:r>
      <w:r w:rsidR="001C7CA5">
        <w:rPr>
          <w:rFonts w:ascii="Georgia" w:hAnsi="Georgia" w:cs="Calibri"/>
          <w:bCs/>
        </w:rPr>
        <w:t xml:space="preserve">(6-hz) </w:t>
      </w:r>
      <w:r>
        <w:rPr>
          <w:rFonts w:ascii="Georgia" w:hAnsi="Georgia" w:cs="Calibri"/>
          <w:bCs/>
        </w:rPr>
        <w:t xml:space="preserve">and </w:t>
      </w:r>
      <w:r w:rsidR="001C7CA5">
        <w:rPr>
          <w:rFonts w:ascii="Georgia" w:hAnsi="Georgia" w:cs="Calibri"/>
          <w:bCs/>
        </w:rPr>
        <w:t>zebrafish</w:t>
      </w:r>
      <w:r>
        <w:rPr>
          <w:rFonts w:ascii="Georgia" w:hAnsi="Georgia" w:cs="Calibri"/>
          <w:bCs/>
        </w:rPr>
        <w:t xml:space="preserve"> </w:t>
      </w:r>
      <w:r w:rsidR="001C7CA5">
        <w:rPr>
          <w:rFonts w:ascii="Georgia" w:hAnsi="Georgia" w:cs="Calibri"/>
          <w:bCs/>
        </w:rPr>
        <w:t xml:space="preserve">(scn1ab) have shown reduced seizure duration and activity, in accordance with that of </w:t>
      </w:r>
      <w:proofErr w:type="spellStart"/>
      <w:r w:rsidR="001C7CA5">
        <w:rPr>
          <w:rFonts w:ascii="Georgia" w:hAnsi="Georgia" w:cs="Calibri"/>
          <w:bCs/>
        </w:rPr>
        <w:t>bexicaserin’s</w:t>
      </w:r>
      <w:proofErr w:type="spellEnd"/>
      <w:r w:rsidR="001C7CA5">
        <w:rPr>
          <w:rFonts w:ascii="Georgia" w:hAnsi="Georgia" w:cs="Calibri"/>
          <w:bCs/>
        </w:rPr>
        <w:t xml:space="preserve"> results in similar </w:t>
      </w:r>
      <w:r w:rsidR="00617366">
        <w:rPr>
          <w:rFonts w:ascii="Georgia" w:hAnsi="Georgia" w:cs="Calibri"/>
          <w:bCs/>
        </w:rPr>
        <w:t>models.</w:t>
      </w:r>
    </w:p>
    <w:p w14:paraId="6DB4B7B4" w14:textId="0B503021" w:rsidR="001C7CA5" w:rsidRPr="001E1ED5" w:rsidRDefault="00DC52CF" w:rsidP="009949F8">
      <w:pPr>
        <w:pStyle w:val="PargrafodaLista"/>
        <w:numPr>
          <w:ilvl w:val="0"/>
          <w:numId w:val="15"/>
        </w:numPr>
        <w:jc w:val="both"/>
        <w:rPr>
          <w:rFonts w:ascii="Georgia" w:hAnsi="Georgia" w:cs="Calibri"/>
          <w:bCs/>
        </w:rPr>
      </w:pPr>
      <w:r w:rsidRPr="00DC52CF">
        <w:rPr>
          <w:rFonts w:ascii="Georgia" w:hAnsi="Georgia" w:cs="Calibri"/>
          <w:bCs/>
        </w:rPr>
        <w:t>BMB-101 showed 5HT2C target engagement measured by Prolactin % change (5-HT2C agonists,</w:t>
      </w:r>
      <w:r w:rsidR="00182D06">
        <w:rPr>
          <w:rFonts w:ascii="Georgia" w:hAnsi="Georgia" w:cs="Calibri"/>
          <w:bCs/>
        </w:rPr>
        <w:t xml:space="preserve"> </w:t>
      </w:r>
      <w:r w:rsidR="00182D06" w:rsidRPr="00182D06">
        <w:rPr>
          <w:rFonts w:ascii="Georgia" w:hAnsi="Georgia" w:cs="Calibri"/>
          <w:bCs/>
        </w:rPr>
        <w:t xml:space="preserve">such as </w:t>
      </w:r>
      <w:proofErr w:type="spellStart"/>
      <w:r w:rsidR="00182D06" w:rsidRPr="00182D06">
        <w:rPr>
          <w:rFonts w:ascii="Georgia" w:hAnsi="Georgia" w:cs="Calibri"/>
          <w:bCs/>
        </w:rPr>
        <w:t>lorcaserin</w:t>
      </w:r>
      <w:proofErr w:type="spellEnd"/>
      <w:r w:rsidR="00182D06" w:rsidRPr="00182D06">
        <w:rPr>
          <w:rFonts w:ascii="Georgia" w:hAnsi="Georgia" w:cs="Calibri"/>
          <w:bCs/>
        </w:rPr>
        <w:t xml:space="preserve"> and </w:t>
      </w:r>
      <w:proofErr w:type="spellStart"/>
      <w:r w:rsidR="00182D06" w:rsidRPr="00182D06">
        <w:rPr>
          <w:rFonts w:ascii="Georgia" w:hAnsi="Georgia" w:cs="Calibri"/>
          <w:bCs/>
        </w:rPr>
        <w:t>bexicaserin</w:t>
      </w:r>
      <w:proofErr w:type="spellEnd"/>
      <w:r w:rsidR="00182D06" w:rsidRPr="00182D06">
        <w:rPr>
          <w:rFonts w:ascii="Georgia" w:hAnsi="Georgia" w:cs="Calibri"/>
          <w:bCs/>
        </w:rPr>
        <w:t>, are known to increase prolactin plasma levels via a central mechanism in the hypothalamus)</w:t>
      </w:r>
      <w:r w:rsidR="003628D7" w:rsidRPr="003628D7">
        <w:rPr>
          <w:rFonts w:ascii="Georgia" w:hAnsi="Georgia" w:cs="Calibri"/>
          <w:bCs/>
        </w:rPr>
        <w:t xml:space="preserve"> and induced </w:t>
      </w:r>
      <w:proofErr w:type="spellStart"/>
      <w:r w:rsidR="003628D7" w:rsidRPr="003628D7">
        <w:rPr>
          <w:rFonts w:ascii="Georgia" w:hAnsi="Georgia" w:cs="Calibri"/>
          <w:bCs/>
        </w:rPr>
        <w:t>qEEGs</w:t>
      </w:r>
      <w:proofErr w:type="spellEnd"/>
      <w:r w:rsidR="003628D7" w:rsidRPr="003628D7">
        <w:rPr>
          <w:rFonts w:ascii="Georgia" w:hAnsi="Georgia" w:cs="Calibri"/>
          <w:bCs/>
        </w:rPr>
        <w:t xml:space="preserve"> typical of other anti-seizure medications in this </w:t>
      </w:r>
      <w:r w:rsidR="00617366" w:rsidRPr="003628D7">
        <w:rPr>
          <w:rFonts w:ascii="Georgia" w:hAnsi="Georgia" w:cs="Calibri"/>
          <w:bCs/>
        </w:rPr>
        <w:t>class.</w:t>
      </w:r>
    </w:p>
    <w:p w14:paraId="09C92DA0" w14:textId="4C5E32C0" w:rsidR="0068676B" w:rsidRPr="006427A1" w:rsidRDefault="00477DC2" w:rsidP="009949F8">
      <w:pPr>
        <w:ind w:firstLine="360"/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Given the previously mentioned price discrepancies, I expect the market to react positively upon favorable efficacy in this trial (</w:t>
      </w:r>
      <w:r w:rsidR="007C7C1A">
        <w:rPr>
          <w:rFonts w:ascii="Georgia" w:hAnsi="Georgia" w:cs="Calibri"/>
          <w:bCs/>
        </w:rPr>
        <w:t xml:space="preserve">defining favorable efficacy as similar/equal to that of </w:t>
      </w:r>
      <w:proofErr w:type="spellStart"/>
      <w:r w:rsidR="007C7C1A">
        <w:rPr>
          <w:rFonts w:ascii="Georgia" w:hAnsi="Georgia" w:cs="Calibri"/>
          <w:bCs/>
        </w:rPr>
        <w:t>bexicaserin</w:t>
      </w:r>
      <w:proofErr w:type="spellEnd"/>
      <w:r w:rsidR="007C7C1A">
        <w:rPr>
          <w:rFonts w:ascii="Georgia" w:hAnsi="Georgia" w:cs="Calibri"/>
          <w:bCs/>
        </w:rPr>
        <w:t>)</w:t>
      </w:r>
      <w:r w:rsidR="00D54F02">
        <w:rPr>
          <w:rFonts w:ascii="Georgia" w:hAnsi="Georgia" w:cs="Calibri"/>
          <w:bCs/>
        </w:rPr>
        <w:t>.</w:t>
      </w:r>
    </w:p>
    <w:p w14:paraId="7B13AD86" w14:textId="77777777" w:rsidR="004B3292" w:rsidRDefault="004B3292" w:rsidP="00D54F02">
      <w:pPr>
        <w:rPr>
          <w:rFonts w:ascii="Georgia" w:hAnsi="Georgia" w:cs="Calibri"/>
          <w:bCs/>
        </w:rPr>
      </w:pPr>
    </w:p>
    <w:p w14:paraId="118B2121" w14:textId="77777777" w:rsidR="0068676B" w:rsidRPr="0097748E" w:rsidRDefault="0068676B" w:rsidP="0068676B">
      <w:pPr>
        <w:jc w:val="center"/>
        <w:rPr>
          <w:rFonts w:ascii="Georgia" w:hAnsi="Georgia" w:cs="Calibri"/>
          <w:b/>
          <w:u w:val="single"/>
        </w:rPr>
      </w:pPr>
      <w:r>
        <w:rPr>
          <w:rFonts w:ascii="Georgia" w:hAnsi="Georgia" w:cs="Calibri"/>
          <w:b/>
          <w:u w:val="single"/>
        </w:rPr>
        <w:t>Assessing the Associated Risks</w:t>
      </w:r>
    </w:p>
    <w:p w14:paraId="501C9904" w14:textId="0178C57F" w:rsidR="0068676B" w:rsidRDefault="00474353" w:rsidP="009D68A4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  <w:r w:rsidR="00C0704D">
        <w:rPr>
          <w:rFonts w:ascii="Georgia" w:hAnsi="Georgia" w:cs="Calibri"/>
          <w:bCs/>
        </w:rPr>
        <w:t xml:space="preserve">A </w:t>
      </w:r>
      <w:r>
        <w:rPr>
          <w:rFonts w:ascii="Georgia" w:hAnsi="Georgia" w:cs="Calibri"/>
          <w:bCs/>
        </w:rPr>
        <w:t xml:space="preserve">major </w:t>
      </w:r>
      <w:r w:rsidR="00C0704D">
        <w:rPr>
          <w:rFonts w:ascii="Georgia" w:hAnsi="Georgia" w:cs="Calibri"/>
          <w:bCs/>
        </w:rPr>
        <w:t xml:space="preserve">point in favor of </w:t>
      </w:r>
      <w:proofErr w:type="spellStart"/>
      <w:r w:rsidR="00C0704D">
        <w:rPr>
          <w:rFonts w:ascii="Georgia" w:hAnsi="Georgia" w:cs="Calibri"/>
          <w:bCs/>
        </w:rPr>
        <w:t>bexicaserin</w:t>
      </w:r>
      <w:proofErr w:type="spellEnd"/>
      <w:r w:rsidR="00C0704D">
        <w:rPr>
          <w:rFonts w:ascii="Georgia" w:hAnsi="Georgia" w:cs="Calibri"/>
          <w:bCs/>
        </w:rPr>
        <w:t xml:space="preserve"> is that </w:t>
      </w:r>
      <w:r w:rsidR="00671C2F">
        <w:rPr>
          <w:rFonts w:ascii="Georgia" w:hAnsi="Georgia" w:cs="Calibri"/>
          <w:bCs/>
        </w:rPr>
        <w:t xml:space="preserve">this compound is the only </w:t>
      </w:r>
      <w:proofErr w:type="spellStart"/>
      <w:r w:rsidR="00671C2F">
        <w:rPr>
          <w:rFonts w:ascii="Georgia" w:hAnsi="Georgia" w:cs="Calibri"/>
          <w:bCs/>
        </w:rPr>
        <w:t>superagonist</w:t>
      </w:r>
      <w:proofErr w:type="spellEnd"/>
      <w:r w:rsidR="00671C2F">
        <w:rPr>
          <w:rFonts w:ascii="Georgia" w:hAnsi="Georgia" w:cs="Calibri"/>
          <w:bCs/>
        </w:rPr>
        <w:t xml:space="preserve"> in the clinic targeting 5HT2C.</w:t>
      </w:r>
    </w:p>
    <w:p w14:paraId="78DBE741" w14:textId="1EA8E0AD" w:rsidR="00671C2F" w:rsidRPr="009638D9" w:rsidRDefault="00671C2F" w:rsidP="009D68A4">
      <w:pPr>
        <w:jc w:val="both"/>
        <w:rPr>
          <w:rFonts w:ascii="Georgia" w:hAnsi="Georgia" w:cs="Calibri"/>
          <w:bCs/>
          <w:i/>
          <w:iCs/>
          <w:u w:val="single"/>
        </w:rPr>
      </w:pPr>
      <w:r>
        <w:rPr>
          <w:rFonts w:ascii="Georgia" w:hAnsi="Georgia" w:cs="Calibri"/>
          <w:bCs/>
        </w:rPr>
        <w:tab/>
      </w:r>
      <w:r w:rsidRPr="00671C2F">
        <w:rPr>
          <w:rFonts w:ascii="Georgia" w:hAnsi="Georgia" w:cs="Calibri"/>
          <w:bCs/>
        </w:rPr>
        <w:t xml:space="preserve">Admittedly, this phase 1 data comes from a single-arm, open-label trial at just a single site in Australia, with plenty of room for </w:t>
      </w:r>
      <w:proofErr w:type="gramStart"/>
      <w:r w:rsidRPr="00671C2F">
        <w:rPr>
          <w:rFonts w:ascii="Georgia" w:hAnsi="Georgia" w:cs="Calibri"/>
          <w:bCs/>
        </w:rPr>
        <w:t>sketchy</w:t>
      </w:r>
      <w:proofErr w:type="gramEnd"/>
      <w:r w:rsidRPr="00671C2F">
        <w:rPr>
          <w:rFonts w:ascii="Georgia" w:hAnsi="Georgia" w:cs="Calibri"/>
          <w:bCs/>
        </w:rPr>
        <w:t xml:space="preserve"> data and fraud (Australia is a terrible country for data integrity for various reasons).</w:t>
      </w:r>
      <w:r w:rsidR="007A7FC0">
        <w:rPr>
          <w:rFonts w:ascii="Georgia" w:hAnsi="Georgia" w:cs="Calibri"/>
          <w:bCs/>
        </w:rPr>
        <w:t xml:space="preserve"> </w:t>
      </w:r>
      <w:r w:rsidR="007A7FC0" w:rsidRPr="009638D9">
        <w:rPr>
          <w:rFonts w:ascii="Georgia" w:hAnsi="Georgia" w:cs="Calibri"/>
          <w:bCs/>
          <w:i/>
          <w:iCs/>
          <w:u w:val="single"/>
        </w:rPr>
        <w:t xml:space="preserve">(this information could </w:t>
      </w:r>
      <w:proofErr w:type="gramStart"/>
      <w:r w:rsidR="007A7FC0" w:rsidRPr="009638D9">
        <w:rPr>
          <w:rFonts w:ascii="Georgia" w:hAnsi="Georgia" w:cs="Calibri"/>
          <w:bCs/>
          <w:i/>
          <w:iCs/>
          <w:u w:val="single"/>
        </w:rPr>
        <w:t xml:space="preserve">be </w:t>
      </w:r>
      <w:r w:rsidR="009638D9" w:rsidRPr="009638D9">
        <w:rPr>
          <w:rFonts w:ascii="Georgia" w:hAnsi="Georgia" w:cs="Calibri"/>
          <w:bCs/>
          <w:i/>
          <w:iCs/>
          <w:u w:val="single"/>
        </w:rPr>
        <w:t>interpreted</w:t>
      </w:r>
      <w:proofErr w:type="gramEnd"/>
      <w:r w:rsidR="009638D9" w:rsidRPr="009638D9">
        <w:rPr>
          <w:rFonts w:ascii="Georgia" w:hAnsi="Georgia" w:cs="Calibri"/>
          <w:bCs/>
          <w:i/>
          <w:iCs/>
          <w:u w:val="single"/>
        </w:rPr>
        <w:t xml:space="preserve"> </w:t>
      </w:r>
      <w:r w:rsidR="007A7FC0" w:rsidRPr="009638D9">
        <w:rPr>
          <w:rFonts w:ascii="Georgia" w:hAnsi="Georgia" w:cs="Calibri"/>
          <w:bCs/>
          <w:i/>
          <w:iCs/>
          <w:u w:val="single"/>
        </w:rPr>
        <w:t xml:space="preserve">a </w:t>
      </w:r>
      <w:r w:rsidR="009638D9" w:rsidRPr="009638D9">
        <w:rPr>
          <w:rFonts w:ascii="Georgia" w:hAnsi="Georgia" w:cs="Calibri"/>
          <w:bCs/>
          <w:i/>
          <w:iCs/>
          <w:u w:val="single"/>
        </w:rPr>
        <w:t>feature, not a problem)</w:t>
      </w:r>
    </w:p>
    <w:p w14:paraId="7BE41F99" w14:textId="46721D03" w:rsidR="0087628B" w:rsidRDefault="00436492" w:rsidP="00065A57">
      <w:pPr>
        <w:jc w:val="both"/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  <w:t xml:space="preserve">The lack of a placebo comparator may </w:t>
      </w:r>
      <w:r w:rsidR="001E1418">
        <w:rPr>
          <w:rFonts w:ascii="Georgia" w:hAnsi="Georgia" w:cs="Calibri"/>
          <w:bCs/>
        </w:rPr>
        <w:t xml:space="preserve">add a layer of subjectivity to the interpretation </w:t>
      </w:r>
      <w:r>
        <w:rPr>
          <w:rFonts w:ascii="Georgia" w:hAnsi="Georgia" w:cs="Calibri"/>
          <w:bCs/>
        </w:rPr>
        <w:t>of results by the market.</w:t>
      </w:r>
    </w:p>
    <w:p w14:paraId="73964493" w14:textId="0B6DCA23" w:rsidR="0028548B" w:rsidRPr="00305A14" w:rsidRDefault="0028548B" w:rsidP="0028548B">
      <w:pPr>
        <w:rPr>
          <w:color w:val="0F4761" w:themeColor="accent1" w:themeShade="BF"/>
          <w:sz w:val="36"/>
          <w:szCs w:val="36"/>
        </w:rPr>
      </w:pPr>
      <w:r w:rsidRPr="00305A14">
        <w:rPr>
          <w:color w:val="0F4761" w:themeColor="accent1" w:themeShade="BF"/>
          <w:sz w:val="36"/>
          <w:szCs w:val="36"/>
        </w:rPr>
        <w:lastRenderedPageBreak/>
        <w:t>References</w:t>
      </w:r>
    </w:p>
    <w:p w14:paraId="62610F54" w14:textId="44DFED1C" w:rsidR="00F34E75" w:rsidRDefault="00DD4CE0" w:rsidP="001B1BF9">
      <w:pPr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 xml:space="preserve">Bright Minds Biosciences INC. </w:t>
      </w:r>
      <w:r w:rsidRPr="00DD4CE0">
        <w:rPr>
          <w:rFonts w:ascii="Georgia" w:hAnsi="Georgia" w:cs="Calibri"/>
          <w:bCs/>
        </w:rPr>
        <w:t>LISTING STATEMENT</w:t>
      </w:r>
      <w:r>
        <w:rPr>
          <w:rFonts w:ascii="Georgia" w:hAnsi="Georgia" w:cs="Calibri"/>
          <w:bCs/>
        </w:rPr>
        <w:t xml:space="preserve"> FORM 2A</w:t>
      </w:r>
    </w:p>
    <w:p w14:paraId="16B69F4C" w14:textId="1904E404" w:rsidR="001B1BF9" w:rsidRDefault="001B1BF9" w:rsidP="00FA1103">
      <w:pPr>
        <w:ind w:firstLine="720"/>
        <w:rPr>
          <w:color w:val="467886" w:themeColor="hyperlink"/>
          <w:u w:val="single"/>
        </w:rPr>
      </w:pPr>
      <w:hyperlink r:id="rId9" w:history="1">
        <w:r w:rsidRPr="001B1BF9">
          <w:rPr>
            <w:rStyle w:val="Hiperligao"/>
          </w:rPr>
          <w:t>2102060946158620.pdf</w:t>
        </w:r>
      </w:hyperlink>
    </w:p>
    <w:p w14:paraId="5C9CB67C" w14:textId="19A406C5" w:rsidR="004E79DC" w:rsidRDefault="000636C0" w:rsidP="004E79DC">
      <w:pPr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PACIFIC Study Topline Data</w:t>
      </w:r>
    </w:p>
    <w:p w14:paraId="737092E3" w14:textId="60C1CF88" w:rsidR="000636C0" w:rsidRDefault="000636C0" w:rsidP="004E79DC">
      <w:pPr>
        <w:rPr>
          <w:rStyle w:val="Hiperligao"/>
        </w:rPr>
      </w:pPr>
      <w:r>
        <w:rPr>
          <w:rFonts w:ascii="Georgia" w:hAnsi="Georgia" w:cs="Calibri"/>
          <w:bCs/>
        </w:rPr>
        <w:tab/>
      </w:r>
      <w:hyperlink r:id="rId10" w:history="1">
        <w:r w:rsidRPr="000636C0">
          <w:rPr>
            <w:rStyle w:val="Hiperligao"/>
            <w:rFonts w:ascii="Georgia" w:hAnsi="Georgia" w:cs="Calibri"/>
            <w:bCs/>
          </w:rPr>
          <w:t>Microsoft PowerPoint - Ex. 99.2 PACIFIC TL Data Slides</w:t>
        </w:r>
      </w:hyperlink>
    </w:p>
    <w:p w14:paraId="40D5608C" w14:textId="3B8722C2" w:rsidR="004E79DC" w:rsidRDefault="00AA20EE" w:rsidP="004E79DC">
      <w:pPr>
        <w:rPr>
          <w:rFonts w:ascii="Georgia" w:hAnsi="Georgia" w:cs="Calibri"/>
          <w:bCs/>
        </w:rPr>
      </w:pPr>
      <w:r w:rsidRPr="00AA20EE">
        <w:rPr>
          <w:rFonts w:ascii="Georgia" w:hAnsi="Georgia" w:cs="Calibri"/>
          <w:bCs/>
        </w:rPr>
        <w:t>BMB-101 and Biased 5-HT2C Agonism: A Novel Approach for Sustained Epilepsy Management</w:t>
      </w:r>
    </w:p>
    <w:p w14:paraId="746BADAF" w14:textId="1FCC024D" w:rsidR="00AA20EE" w:rsidRDefault="00AA20EE" w:rsidP="004E79DC">
      <w:pPr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  <w:hyperlink r:id="rId11" w:history="1">
        <w:r w:rsidR="00111ABF" w:rsidRPr="00111ABF">
          <w:rPr>
            <w:rStyle w:val="Hiperligao"/>
            <w:rFonts w:ascii="Georgia" w:hAnsi="Georgia" w:cs="Calibri"/>
            <w:bCs/>
          </w:rPr>
          <w:t>5-HT2C-biased-agonism-poster-AES_2024-Final.pdf</w:t>
        </w:r>
      </w:hyperlink>
    </w:p>
    <w:p w14:paraId="344AB282" w14:textId="640B3433" w:rsidR="00111ABF" w:rsidRDefault="005F6CFA" w:rsidP="004E79DC">
      <w:pPr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>Bright Minds Biosciences Website</w:t>
      </w:r>
    </w:p>
    <w:p w14:paraId="1F756804" w14:textId="3FF6363A" w:rsidR="005F6CFA" w:rsidRPr="00AA20EE" w:rsidRDefault="005F6CFA" w:rsidP="004E79DC">
      <w:pPr>
        <w:rPr>
          <w:rFonts w:ascii="Georgia" w:hAnsi="Georgia" w:cs="Calibri"/>
          <w:bCs/>
        </w:rPr>
      </w:pPr>
      <w:r>
        <w:rPr>
          <w:rFonts w:ascii="Georgia" w:hAnsi="Georgia" w:cs="Calibri"/>
          <w:bCs/>
        </w:rPr>
        <w:tab/>
      </w:r>
      <w:hyperlink r:id="rId12" w:history="1">
        <w:r w:rsidRPr="005F6CFA">
          <w:rPr>
            <w:rStyle w:val="Hiperligao"/>
            <w:rFonts w:ascii="Georgia" w:hAnsi="Georgia" w:cs="Calibri"/>
            <w:bCs/>
          </w:rPr>
          <w:t>Bright Minds - A Biotechnology Company | Drug Developer</w:t>
        </w:r>
      </w:hyperlink>
    </w:p>
    <w:p w14:paraId="0DB36D49" w14:textId="77777777" w:rsidR="004E79DC" w:rsidRPr="00026D02" w:rsidRDefault="004E79DC" w:rsidP="004E79DC">
      <w:pPr>
        <w:rPr>
          <w:rStyle w:val="Hiperligao"/>
        </w:rPr>
      </w:pPr>
    </w:p>
    <w:sectPr w:rsidR="004E79DC" w:rsidRPr="00026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36983" w14:textId="77777777" w:rsidR="00F9407F" w:rsidRDefault="00F9407F" w:rsidP="00633753">
      <w:pPr>
        <w:spacing w:after="0" w:line="240" w:lineRule="auto"/>
      </w:pPr>
      <w:r>
        <w:separator/>
      </w:r>
    </w:p>
  </w:endnote>
  <w:endnote w:type="continuationSeparator" w:id="0">
    <w:p w14:paraId="1512A36F" w14:textId="77777777" w:rsidR="00F9407F" w:rsidRDefault="00F9407F" w:rsidP="0063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9EF5E" w14:textId="77777777" w:rsidR="00F9407F" w:rsidRDefault="00F9407F" w:rsidP="00633753">
      <w:pPr>
        <w:spacing w:after="0" w:line="240" w:lineRule="auto"/>
      </w:pPr>
      <w:r>
        <w:separator/>
      </w:r>
    </w:p>
  </w:footnote>
  <w:footnote w:type="continuationSeparator" w:id="0">
    <w:p w14:paraId="28343893" w14:textId="77777777" w:rsidR="00F9407F" w:rsidRDefault="00F9407F" w:rsidP="00633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01E"/>
    <w:multiLevelType w:val="hybridMultilevel"/>
    <w:tmpl w:val="18944E1A"/>
    <w:lvl w:ilvl="0" w:tplc="C464C4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4E5"/>
    <w:multiLevelType w:val="hybridMultilevel"/>
    <w:tmpl w:val="9958328E"/>
    <w:lvl w:ilvl="0" w:tplc="F218438A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672C"/>
    <w:multiLevelType w:val="hybridMultilevel"/>
    <w:tmpl w:val="EC7CF200"/>
    <w:lvl w:ilvl="0" w:tplc="62DE6172"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80EDD"/>
    <w:multiLevelType w:val="hybridMultilevel"/>
    <w:tmpl w:val="7A0ED6EE"/>
    <w:lvl w:ilvl="0" w:tplc="9ED03812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467C"/>
    <w:multiLevelType w:val="hybridMultilevel"/>
    <w:tmpl w:val="F94C74A6"/>
    <w:lvl w:ilvl="0" w:tplc="2F58A7B2"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D77E1"/>
    <w:multiLevelType w:val="hybridMultilevel"/>
    <w:tmpl w:val="8EFE293E"/>
    <w:lvl w:ilvl="0" w:tplc="D4881F6A"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0930D0"/>
    <w:multiLevelType w:val="hybridMultilevel"/>
    <w:tmpl w:val="1A1299A2"/>
    <w:lvl w:ilvl="0" w:tplc="2EDE6940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2331"/>
    <w:multiLevelType w:val="hybridMultilevel"/>
    <w:tmpl w:val="96802964"/>
    <w:lvl w:ilvl="0" w:tplc="3A88EDFC">
      <w:start w:val="3"/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6E07C5"/>
    <w:multiLevelType w:val="hybridMultilevel"/>
    <w:tmpl w:val="2E66807A"/>
    <w:lvl w:ilvl="0" w:tplc="2504673E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D74F3"/>
    <w:multiLevelType w:val="hybridMultilevel"/>
    <w:tmpl w:val="E1A6487A"/>
    <w:lvl w:ilvl="0" w:tplc="1B8ABD1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F14B8"/>
    <w:multiLevelType w:val="hybridMultilevel"/>
    <w:tmpl w:val="8CB0BA14"/>
    <w:lvl w:ilvl="0" w:tplc="0DD4DE9C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34EE"/>
    <w:multiLevelType w:val="hybridMultilevel"/>
    <w:tmpl w:val="FBD839F4"/>
    <w:lvl w:ilvl="0" w:tplc="5316C444"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46DEF"/>
    <w:multiLevelType w:val="hybridMultilevel"/>
    <w:tmpl w:val="58A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32E22"/>
    <w:multiLevelType w:val="hybridMultilevel"/>
    <w:tmpl w:val="2D58156C"/>
    <w:lvl w:ilvl="0" w:tplc="62DE6172">
      <w:numFmt w:val="bullet"/>
      <w:lvlText w:val="-"/>
      <w:lvlJc w:val="left"/>
      <w:pPr>
        <w:ind w:left="1080" w:hanging="360"/>
      </w:pPr>
      <w:rPr>
        <w:rFonts w:ascii="Georgia" w:eastAsiaTheme="minorHAns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B606A"/>
    <w:multiLevelType w:val="hybridMultilevel"/>
    <w:tmpl w:val="715A2C92"/>
    <w:lvl w:ilvl="0" w:tplc="C3426C12">
      <w:start w:val="4"/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97172">
    <w:abstractNumId w:val="0"/>
  </w:num>
  <w:num w:numId="2" w16cid:durableId="1692877293">
    <w:abstractNumId w:val="5"/>
  </w:num>
  <w:num w:numId="3" w16cid:durableId="1751342570">
    <w:abstractNumId w:val="12"/>
  </w:num>
  <w:num w:numId="4" w16cid:durableId="1060859057">
    <w:abstractNumId w:val="6"/>
  </w:num>
  <w:num w:numId="5" w16cid:durableId="1668746337">
    <w:abstractNumId w:val="11"/>
  </w:num>
  <w:num w:numId="6" w16cid:durableId="1960524880">
    <w:abstractNumId w:val="4"/>
  </w:num>
  <w:num w:numId="7" w16cid:durableId="1110512138">
    <w:abstractNumId w:val="3"/>
  </w:num>
  <w:num w:numId="8" w16cid:durableId="41365553">
    <w:abstractNumId w:val="1"/>
  </w:num>
  <w:num w:numId="9" w16cid:durableId="1151947221">
    <w:abstractNumId w:val="9"/>
  </w:num>
  <w:num w:numId="10" w16cid:durableId="11735801">
    <w:abstractNumId w:val="10"/>
  </w:num>
  <w:num w:numId="11" w16cid:durableId="1111364961">
    <w:abstractNumId w:val="14"/>
  </w:num>
  <w:num w:numId="12" w16cid:durableId="2013871211">
    <w:abstractNumId w:val="7"/>
  </w:num>
  <w:num w:numId="13" w16cid:durableId="2076777871">
    <w:abstractNumId w:val="2"/>
  </w:num>
  <w:num w:numId="14" w16cid:durableId="1540434585">
    <w:abstractNumId w:val="13"/>
  </w:num>
  <w:num w:numId="15" w16cid:durableId="880242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9"/>
    <w:rsid w:val="00002617"/>
    <w:rsid w:val="00002884"/>
    <w:rsid w:val="00003F80"/>
    <w:rsid w:val="0000530A"/>
    <w:rsid w:val="00005449"/>
    <w:rsid w:val="00005C99"/>
    <w:rsid w:val="00006AE1"/>
    <w:rsid w:val="00007ABB"/>
    <w:rsid w:val="00011152"/>
    <w:rsid w:val="0001495B"/>
    <w:rsid w:val="00015330"/>
    <w:rsid w:val="00017299"/>
    <w:rsid w:val="0002038F"/>
    <w:rsid w:val="000204F8"/>
    <w:rsid w:val="00022F50"/>
    <w:rsid w:val="00023BAF"/>
    <w:rsid w:val="00024E9A"/>
    <w:rsid w:val="0002537F"/>
    <w:rsid w:val="00026D02"/>
    <w:rsid w:val="00027D31"/>
    <w:rsid w:val="00031684"/>
    <w:rsid w:val="000330CF"/>
    <w:rsid w:val="00033915"/>
    <w:rsid w:val="00033B97"/>
    <w:rsid w:val="00034CA1"/>
    <w:rsid w:val="00035BFE"/>
    <w:rsid w:val="00036537"/>
    <w:rsid w:val="00036C7C"/>
    <w:rsid w:val="000379B1"/>
    <w:rsid w:val="00040057"/>
    <w:rsid w:val="00040D0F"/>
    <w:rsid w:val="00040EFB"/>
    <w:rsid w:val="00041C51"/>
    <w:rsid w:val="00041D2B"/>
    <w:rsid w:val="0004329E"/>
    <w:rsid w:val="0004506D"/>
    <w:rsid w:val="00046FCD"/>
    <w:rsid w:val="00047637"/>
    <w:rsid w:val="00051F02"/>
    <w:rsid w:val="00052037"/>
    <w:rsid w:val="000531DD"/>
    <w:rsid w:val="00055282"/>
    <w:rsid w:val="000570B3"/>
    <w:rsid w:val="00057A2B"/>
    <w:rsid w:val="00057FEA"/>
    <w:rsid w:val="00061C62"/>
    <w:rsid w:val="000636C0"/>
    <w:rsid w:val="00063AEA"/>
    <w:rsid w:val="00063FAF"/>
    <w:rsid w:val="00064996"/>
    <w:rsid w:val="00065A57"/>
    <w:rsid w:val="000670C6"/>
    <w:rsid w:val="00070195"/>
    <w:rsid w:val="00071636"/>
    <w:rsid w:val="00071759"/>
    <w:rsid w:val="00073A73"/>
    <w:rsid w:val="00074ADC"/>
    <w:rsid w:val="00075CBD"/>
    <w:rsid w:val="00076770"/>
    <w:rsid w:val="00077EDF"/>
    <w:rsid w:val="00081648"/>
    <w:rsid w:val="00082258"/>
    <w:rsid w:val="00082B60"/>
    <w:rsid w:val="00082FFB"/>
    <w:rsid w:val="00083086"/>
    <w:rsid w:val="00083388"/>
    <w:rsid w:val="00084521"/>
    <w:rsid w:val="00085337"/>
    <w:rsid w:val="00085D61"/>
    <w:rsid w:val="00087329"/>
    <w:rsid w:val="00087332"/>
    <w:rsid w:val="00087544"/>
    <w:rsid w:val="00090DB0"/>
    <w:rsid w:val="00092448"/>
    <w:rsid w:val="000925CB"/>
    <w:rsid w:val="00095533"/>
    <w:rsid w:val="00095D84"/>
    <w:rsid w:val="00097FE5"/>
    <w:rsid w:val="000A06EA"/>
    <w:rsid w:val="000A0A35"/>
    <w:rsid w:val="000A0B60"/>
    <w:rsid w:val="000A4315"/>
    <w:rsid w:val="000A4658"/>
    <w:rsid w:val="000A49B9"/>
    <w:rsid w:val="000A4B8B"/>
    <w:rsid w:val="000B028A"/>
    <w:rsid w:val="000B1C9A"/>
    <w:rsid w:val="000B1F6A"/>
    <w:rsid w:val="000B34E4"/>
    <w:rsid w:val="000B4F2B"/>
    <w:rsid w:val="000B5423"/>
    <w:rsid w:val="000B5EB7"/>
    <w:rsid w:val="000C0086"/>
    <w:rsid w:val="000C0AC4"/>
    <w:rsid w:val="000C1AD4"/>
    <w:rsid w:val="000C22DE"/>
    <w:rsid w:val="000C2583"/>
    <w:rsid w:val="000C5530"/>
    <w:rsid w:val="000C5E42"/>
    <w:rsid w:val="000C6427"/>
    <w:rsid w:val="000C6999"/>
    <w:rsid w:val="000C6BB6"/>
    <w:rsid w:val="000C7801"/>
    <w:rsid w:val="000C7DE6"/>
    <w:rsid w:val="000C7E6F"/>
    <w:rsid w:val="000D00BF"/>
    <w:rsid w:val="000D0930"/>
    <w:rsid w:val="000D1892"/>
    <w:rsid w:val="000D19E4"/>
    <w:rsid w:val="000D21FF"/>
    <w:rsid w:val="000D2CA4"/>
    <w:rsid w:val="000D3A47"/>
    <w:rsid w:val="000D7F65"/>
    <w:rsid w:val="000D7FB9"/>
    <w:rsid w:val="000E0608"/>
    <w:rsid w:val="000E13E9"/>
    <w:rsid w:val="000E20D8"/>
    <w:rsid w:val="000E227A"/>
    <w:rsid w:val="000E2749"/>
    <w:rsid w:val="000E568F"/>
    <w:rsid w:val="000E6406"/>
    <w:rsid w:val="000E69A1"/>
    <w:rsid w:val="000E6B62"/>
    <w:rsid w:val="000E6C55"/>
    <w:rsid w:val="000F05E3"/>
    <w:rsid w:val="000F1D3D"/>
    <w:rsid w:val="000F3653"/>
    <w:rsid w:val="000F4A28"/>
    <w:rsid w:val="000F526D"/>
    <w:rsid w:val="000F5AF1"/>
    <w:rsid w:val="000F6231"/>
    <w:rsid w:val="00101862"/>
    <w:rsid w:val="00101D5B"/>
    <w:rsid w:val="001039DD"/>
    <w:rsid w:val="00103D8C"/>
    <w:rsid w:val="00104679"/>
    <w:rsid w:val="00105777"/>
    <w:rsid w:val="001057A8"/>
    <w:rsid w:val="001102CB"/>
    <w:rsid w:val="00110FA4"/>
    <w:rsid w:val="00111ABF"/>
    <w:rsid w:val="00115123"/>
    <w:rsid w:val="00115E3B"/>
    <w:rsid w:val="001170E0"/>
    <w:rsid w:val="00123464"/>
    <w:rsid w:val="00123993"/>
    <w:rsid w:val="001257EF"/>
    <w:rsid w:val="00126074"/>
    <w:rsid w:val="00126666"/>
    <w:rsid w:val="00131474"/>
    <w:rsid w:val="0013181B"/>
    <w:rsid w:val="001330BE"/>
    <w:rsid w:val="0013390D"/>
    <w:rsid w:val="00136410"/>
    <w:rsid w:val="00136FCC"/>
    <w:rsid w:val="001405BE"/>
    <w:rsid w:val="00141584"/>
    <w:rsid w:val="00142198"/>
    <w:rsid w:val="0014271B"/>
    <w:rsid w:val="00142BD5"/>
    <w:rsid w:val="00143402"/>
    <w:rsid w:val="00143B7E"/>
    <w:rsid w:val="001447DB"/>
    <w:rsid w:val="00144F62"/>
    <w:rsid w:val="00145BC5"/>
    <w:rsid w:val="00146490"/>
    <w:rsid w:val="001473F3"/>
    <w:rsid w:val="00147531"/>
    <w:rsid w:val="001521B4"/>
    <w:rsid w:val="0015238F"/>
    <w:rsid w:val="0015276F"/>
    <w:rsid w:val="00152BAD"/>
    <w:rsid w:val="00153C50"/>
    <w:rsid w:val="001551BD"/>
    <w:rsid w:val="00160E89"/>
    <w:rsid w:val="00160EE0"/>
    <w:rsid w:val="00162149"/>
    <w:rsid w:val="00164B66"/>
    <w:rsid w:val="00165696"/>
    <w:rsid w:val="00166275"/>
    <w:rsid w:val="001675A6"/>
    <w:rsid w:val="001679BD"/>
    <w:rsid w:val="001709E3"/>
    <w:rsid w:val="00171C64"/>
    <w:rsid w:val="00171EBB"/>
    <w:rsid w:val="001745F3"/>
    <w:rsid w:val="00174BF7"/>
    <w:rsid w:val="001759F4"/>
    <w:rsid w:val="00177BB1"/>
    <w:rsid w:val="0018050A"/>
    <w:rsid w:val="0018151B"/>
    <w:rsid w:val="00181AA0"/>
    <w:rsid w:val="00181BC2"/>
    <w:rsid w:val="001824C4"/>
    <w:rsid w:val="00182D06"/>
    <w:rsid w:val="0018402A"/>
    <w:rsid w:val="00184B57"/>
    <w:rsid w:val="00185A0E"/>
    <w:rsid w:val="001867DA"/>
    <w:rsid w:val="00187002"/>
    <w:rsid w:val="001875E5"/>
    <w:rsid w:val="00187DA1"/>
    <w:rsid w:val="001959FC"/>
    <w:rsid w:val="00195BD0"/>
    <w:rsid w:val="001A07DD"/>
    <w:rsid w:val="001A1378"/>
    <w:rsid w:val="001A1822"/>
    <w:rsid w:val="001A1EE6"/>
    <w:rsid w:val="001A1FCE"/>
    <w:rsid w:val="001A5959"/>
    <w:rsid w:val="001A7A9B"/>
    <w:rsid w:val="001B065D"/>
    <w:rsid w:val="001B0BED"/>
    <w:rsid w:val="001B1BF9"/>
    <w:rsid w:val="001B2396"/>
    <w:rsid w:val="001B2914"/>
    <w:rsid w:val="001B3A07"/>
    <w:rsid w:val="001B52DA"/>
    <w:rsid w:val="001B7686"/>
    <w:rsid w:val="001C044E"/>
    <w:rsid w:val="001C0F2F"/>
    <w:rsid w:val="001C1827"/>
    <w:rsid w:val="001C24D9"/>
    <w:rsid w:val="001C27E0"/>
    <w:rsid w:val="001C4966"/>
    <w:rsid w:val="001C4D85"/>
    <w:rsid w:val="001C5970"/>
    <w:rsid w:val="001C7CA5"/>
    <w:rsid w:val="001D17EF"/>
    <w:rsid w:val="001D1C2D"/>
    <w:rsid w:val="001D4198"/>
    <w:rsid w:val="001D50FA"/>
    <w:rsid w:val="001D76D6"/>
    <w:rsid w:val="001D7D40"/>
    <w:rsid w:val="001D7FF6"/>
    <w:rsid w:val="001E01C4"/>
    <w:rsid w:val="001E106D"/>
    <w:rsid w:val="001E1418"/>
    <w:rsid w:val="001E1ED5"/>
    <w:rsid w:val="001E22AA"/>
    <w:rsid w:val="001E45BE"/>
    <w:rsid w:val="001E51AD"/>
    <w:rsid w:val="001E75DF"/>
    <w:rsid w:val="001E79FD"/>
    <w:rsid w:val="001F0967"/>
    <w:rsid w:val="001F1613"/>
    <w:rsid w:val="001F5A3E"/>
    <w:rsid w:val="001F5D2C"/>
    <w:rsid w:val="001F6F9B"/>
    <w:rsid w:val="00202C80"/>
    <w:rsid w:val="00204481"/>
    <w:rsid w:val="00205910"/>
    <w:rsid w:val="00205A22"/>
    <w:rsid w:val="002063B8"/>
    <w:rsid w:val="0020738A"/>
    <w:rsid w:val="00207EBF"/>
    <w:rsid w:val="00210F18"/>
    <w:rsid w:val="00212136"/>
    <w:rsid w:val="0021217F"/>
    <w:rsid w:val="00215D71"/>
    <w:rsid w:val="002164E1"/>
    <w:rsid w:val="00216C43"/>
    <w:rsid w:val="00216CCC"/>
    <w:rsid w:val="00216EE0"/>
    <w:rsid w:val="00216F48"/>
    <w:rsid w:val="00220AE6"/>
    <w:rsid w:val="00222BA7"/>
    <w:rsid w:val="00223723"/>
    <w:rsid w:val="00227245"/>
    <w:rsid w:val="00231689"/>
    <w:rsid w:val="00232252"/>
    <w:rsid w:val="00232887"/>
    <w:rsid w:val="002329E2"/>
    <w:rsid w:val="002332A0"/>
    <w:rsid w:val="0023409A"/>
    <w:rsid w:val="002346F7"/>
    <w:rsid w:val="0023623F"/>
    <w:rsid w:val="002365E1"/>
    <w:rsid w:val="00241D38"/>
    <w:rsid w:val="002444BC"/>
    <w:rsid w:val="0024782D"/>
    <w:rsid w:val="00253F1D"/>
    <w:rsid w:val="002541CE"/>
    <w:rsid w:val="0025716C"/>
    <w:rsid w:val="00262C6A"/>
    <w:rsid w:val="00266143"/>
    <w:rsid w:val="0026644C"/>
    <w:rsid w:val="002671E1"/>
    <w:rsid w:val="00267C1B"/>
    <w:rsid w:val="00271CA7"/>
    <w:rsid w:val="00271FD4"/>
    <w:rsid w:val="00273E63"/>
    <w:rsid w:val="00281392"/>
    <w:rsid w:val="0028526B"/>
    <w:rsid w:val="00285392"/>
    <w:rsid w:val="0028548B"/>
    <w:rsid w:val="0028579E"/>
    <w:rsid w:val="00285974"/>
    <w:rsid w:val="002919F3"/>
    <w:rsid w:val="002A0139"/>
    <w:rsid w:val="002A0315"/>
    <w:rsid w:val="002A03A7"/>
    <w:rsid w:val="002A03DC"/>
    <w:rsid w:val="002A0B79"/>
    <w:rsid w:val="002A0BDB"/>
    <w:rsid w:val="002A4C22"/>
    <w:rsid w:val="002A66BC"/>
    <w:rsid w:val="002A6CAA"/>
    <w:rsid w:val="002B0B7E"/>
    <w:rsid w:val="002B14B8"/>
    <w:rsid w:val="002B2E55"/>
    <w:rsid w:val="002B7788"/>
    <w:rsid w:val="002C068A"/>
    <w:rsid w:val="002C140A"/>
    <w:rsid w:val="002C1B42"/>
    <w:rsid w:val="002C257B"/>
    <w:rsid w:val="002C2995"/>
    <w:rsid w:val="002C2D21"/>
    <w:rsid w:val="002C7AB0"/>
    <w:rsid w:val="002C7FE7"/>
    <w:rsid w:val="002D0FF1"/>
    <w:rsid w:val="002D15B6"/>
    <w:rsid w:val="002D31E4"/>
    <w:rsid w:val="002D4998"/>
    <w:rsid w:val="002D4DF2"/>
    <w:rsid w:val="002D7DAD"/>
    <w:rsid w:val="002E046E"/>
    <w:rsid w:val="002E38AF"/>
    <w:rsid w:val="002E3EC5"/>
    <w:rsid w:val="002E596A"/>
    <w:rsid w:val="002F06D5"/>
    <w:rsid w:val="002F3099"/>
    <w:rsid w:val="00303F75"/>
    <w:rsid w:val="003042F5"/>
    <w:rsid w:val="003054B9"/>
    <w:rsid w:val="0030554E"/>
    <w:rsid w:val="003111A6"/>
    <w:rsid w:val="00312774"/>
    <w:rsid w:val="00314369"/>
    <w:rsid w:val="00314476"/>
    <w:rsid w:val="0031449A"/>
    <w:rsid w:val="00315255"/>
    <w:rsid w:val="003154A1"/>
    <w:rsid w:val="00316457"/>
    <w:rsid w:val="003228D5"/>
    <w:rsid w:val="00323818"/>
    <w:rsid w:val="00325338"/>
    <w:rsid w:val="00325465"/>
    <w:rsid w:val="00326B25"/>
    <w:rsid w:val="00327083"/>
    <w:rsid w:val="00327743"/>
    <w:rsid w:val="003314A0"/>
    <w:rsid w:val="00332115"/>
    <w:rsid w:val="00333A0B"/>
    <w:rsid w:val="00334C05"/>
    <w:rsid w:val="0033750D"/>
    <w:rsid w:val="00342334"/>
    <w:rsid w:val="0034554D"/>
    <w:rsid w:val="00350D91"/>
    <w:rsid w:val="003534BA"/>
    <w:rsid w:val="003535E0"/>
    <w:rsid w:val="00353E23"/>
    <w:rsid w:val="003546AF"/>
    <w:rsid w:val="0035480C"/>
    <w:rsid w:val="0035487F"/>
    <w:rsid w:val="00356852"/>
    <w:rsid w:val="00357581"/>
    <w:rsid w:val="00361003"/>
    <w:rsid w:val="003628D7"/>
    <w:rsid w:val="00363DEA"/>
    <w:rsid w:val="003656F4"/>
    <w:rsid w:val="00366412"/>
    <w:rsid w:val="00366E90"/>
    <w:rsid w:val="003677BF"/>
    <w:rsid w:val="003709D3"/>
    <w:rsid w:val="003747FD"/>
    <w:rsid w:val="0037561D"/>
    <w:rsid w:val="00375D62"/>
    <w:rsid w:val="00376E96"/>
    <w:rsid w:val="003820DA"/>
    <w:rsid w:val="00384336"/>
    <w:rsid w:val="00385BD3"/>
    <w:rsid w:val="003869B1"/>
    <w:rsid w:val="003877B4"/>
    <w:rsid w:val="00392171"/>
    <w:rsid w:val="003958FA"/>
    <w:rsid w:val="0039740F"/>
    <w:rsid w:val="003A1348"/>
    <w:rsid w:val="003A26B9"/>
    <w:rsid w:val="003A4FF3"/>
    <w:rsid w:val="003A5684"/>
    <w:rsid w:val="003A5ABD"/>
    <w:rsid w:val="003A70A5"/>
    <w:rsid w:val="003A7FC5"/>
    <w:rsid w:val="003B1790"/>
    <w:rsid w:val="003B256A"/>
    <w:rsid w:val="003B56D9"/>
    <w:rsid w:val="003B5CE7"/>
    <w:rsid w:val="003B6A40"/>
    <w:rsid w:val="003B6B94"/>
    <w:rsid w:val="003B6C31"/>
    <w:rsid w:val="003B6F61"/>
    <w:rsid w:val="003C0598"/>
    <w:rsid w:val="003C31EB"/>
    <w:rsid w:val="003C3560"/>
    <w:rsid w:val="003C5452"/>
    <w:rsid w:val="003C7ACA"/>
    <w:rsid w:val="003D218A"/>
    <w:rsid w:val="003D2EF6"/>
    <w:rsid w:val="003D3F22"/>
    <w:rsid w:val="003D424F"/>
    <w:rsid w:val="003D673C"/>
    <w:rsid w:val="003D68DE"/>
    <w:rsid w:val="003D7952"/>
    <w:rsid w:val="003D7C55"/>
    <w:rsid w:val="003E0183"/>
    <w:rsid w:val="003E18C6"/>
    <w:rsid w:val="003E478E"/>
    <w:rsid w:val="003E4F98"/>
    <w:rsid w:val="003E532A"/>
    <w:rsid w:val="003F1676"/>
    <w:rsid w:val="003F178E"/>
    <w:rsid w:val="003F1DBC"/>
    <w:rsid w:val="003F260F"/>
    <w:rsid w:val="003F3D31"/>
    <w:rsid w:val="003F5B53"/>
    <w:rsid w:val="003F5F01"/>
    <w:rsid w:val="003F67D7"/>
    <w:rsid w:val="003F6D38"/>
    <w:rsid w:val="003F748A"/>
    <w:rsid w:val="003F7A47"/>
    <w:rsid w:val="00400E19"/>
    <w:rsid w:val="00401154"/>
    <w:rsid w:val="004011AE"/>
    <w:rsid w:val="00402036"/>
    <w:rsid w:val="004058FD"/>
    <w:rsid w:val="00412DCD"/>
    <w:rsid w:val="00416D55"/>
    <w:rsid w:val="0041768A"/>
    <w:rsid w:val="004179CC"/>
    <w:rsid w:val="00421E55"/>
    <w:rsid w:val="00422BBF"/>
    <w:rsid w:val="00424513"/>
    <w:rsid w:val="004250B1"/>
    <w:rsid w:val="00425FD9"/>
    <w:rsid w:val="0042618B"/>
    <w:rsid w:val="004261E9"/>
    <w:rsid w:val="00426F8B"/>
    <w:rsid w:val="004315C2"/>
    <w:rsid w:val="00431CB9"/>
    <w:rsid w:val="004320F8"/>
    <w:rsid w:val="00433331"/>
    <w:rsid w:val="00434268"/>
    <w:rsid w:val="00434AB3"/>
    <w:rsid w:val="00434C54"/>
    <w:rsid w:val="00434E7F"/>
    <w:rsid w:val="00435351"/>
    <w:rsid w:val="00435966"/>
    <w:rsid w:val="00436492"/>
    <w:rsid w:val="004368A9"/>
    <w:rsid w:val="004403E5"/>
    <w:rsid w:val="00443306"/>
    <w:rsid w:val="00444085"/>
    <w:rsid w:val="004441D9"/>
    <w:rsid w:val="00445948"/>
    <w:rsid w:val="00453572"/>
    <w:rsid w:val="0045366A"/>
    <w:rsid w:val="004544B0"/>
    <w:rsid w:val="00454802"/>
    <w:rsid w:val="00454A6D"/>
    <w:rsid w:val="00455C47"/>
    <w:rsid w:val="00457F95"/>
    <w:rsid w:val="00462D34"/>
    <w:rsid w:val="004646A7"/>
    <w:rsid w:val="00464CB3"/>
    <w:rsid w:val="0047147E"/>
    <w:rsid w:val="00472818"/>
    <w:rsid w:val="00472A39"/>
    <w:rsid w:val="00472FFE"/>
    <w:rsid w:val="00474080"/>
    <w:rsid w:val="00474353"/>
    <w:rsid w:val="00474C45"/>
    <w:rsid w:val="00477DC2"/>
    <w:rsid w:val="00480BDB"/>
    <w:rsid w:val="00481592"/>
    <w:rsid w:val="00483625"/>
    <w:rsid w:val="004840FA"/>
    <w:rsid w:val="00484724"/>
    <w:rsid w:val="0048485D"/>
    <w:rsid w:val="00486378"/>
    <w:rsid w:val="00486603"/>
    <w:rsid w:val="00486A57"/>
    <w:rsid w:val="0048702E"/>
    <w:rsid w:val="004874DE"/>
    <w:rsid w:val="00490746"/>
    <w:rsid w:val="00491777"/>
    <w:rsid w:val="00493776"/>
    <w:rsid w:val="00494593"/>
    <w:rsid w:val="004946E9"/>
    <w:rsid w:val="004965D1"/>
    <w:rsid w:val="004A0432"/>
    <w:rsid w:val="004A0CF5"/>
    <w:rsid w:val="004A3084"/>
    <w:rsid w:val="004A51D3"/>
    <w:rsid w:val="004A69AB"/>
    <w:rsid w:val="004A7175"/>
    <w:rsid w:val="004A7A68"/>
    <w:rsid w:val="004B21B4"/>
    <w:rsid w:val="004B25F0"/>
    <w:rsid w:val="004B27B1"/>
    <w:rsid w:val="004B3292"/>
    <w:rsid w:val="004B4C73"/>
    <w:rsid w:val="004C0375"/>
    <w:rsid w:val="004C4852"/>
    <w:rsid w:val="004C5CB9"/>
    <w:rsid w:val="004C661E"/>
    <w:rsid w:val="004C76A9"/>
    <w:rsid w:val="004C77E4"/>
    <w:rsid w:val="004C7930"/>
    <w:rsid w:val="004D12C5"/>
    <w:rsid w:val="004D4DB3"/>
    <w:rsid w:val="004D52F4"/>
    <w:rsid w:val="004D615C"/>
    <w:rsid w:val="004D7E78"/>
    <w:rsid w:val="004E1976"/>
    <w:rsid w:val="004E2503"/>
    <w:rsid w:val="004E3B00"/>
    <w:rsid w:val="004E4BCC"/>
    <w:rsid w:val="004E5776"/>
    <w:rsid w:val="004E79DC"/>
    <w:rsid w:val="004F1494"/>
    <w:rsid w:val="004F2ECE"/>
    <w:rsid w:val="004F4DB4"/>
    <w:rsid w:val="004F592B"/>
    <w:rsid w:val="004F5CF5"/>
    <w:rsid w:val="004F7F5B"/>
    <w:rsid w:val="00501C53"/>
    <w:rsid w:val="00503178"/>
    <w:rsid w:val="005051FE"/>
    <w:rsid w:val="00505354"/>
    <w:rsid w:val="00506CC8"/>
    <w:rsid w:val="005071DF"/>
    <w:rsid w:val="00507A6F"/>
    <w:rsid w:val="00513D89"/>
    <w:rsid w:val="0051477F"/>
    <w:rsid w:val="0051611A"/>
    <w:rsid w:val="005248EA"/>
    <w:rsid w:val="00525ED0"/>
    <w:rsid w:val="00533C17"/>
    <w:rsid w:val="00535134"/>
    <w:rsid w:val="005363BE"/>
    <w:rsid w:val="005421EB"/>
    <w:rsid w:val="005435AD"/>
    <w:rsid w:val="005445E1"/>
    <w:rsid w:val="005453F1"/>
    <w:rsid w:val="0054588D"/>
    <w:rsid w:val="00546530"/>
    <w:rsid w:val="00546ED4"/>
    <w:rsid w:val="00546F1A"/>
    <w:rsid w:val="005470AF"/>
    <w:rsid w:val="005514C5"/>
    <w:rsid w:val="00552992"/>
    <w:rsid w:val="00552B5E"/>
    <w:rsid w:val="005548A9"/>
    <w:rsid w:val="00554A87"/>
    <w:rsid w:val="00556F20"/>
    <w:rsid w:val="00556FD2"/>
    <w:rsid w:val="00557A44"/>
    <w:rsid w:val="00561442"/>
    <w:rsid w:val="005614F3"/>
    <w:rsid w:val="00563C01"/>
    <w:rsid w:val="0056400F"/>
    <w:rsid w:val="00564447"/>
    <w:rsid w:val="00564A04"/>
    <w:rsid w:val="00564F22"/>
    <w:rsid w:val="00571F81"/>
    <w:rsid w:val="0057210B"/>
    <w:rsid w:val="00575506"/>
    <w:rsid w:val="00575558"/>
    <w:rsid w:val="00575A06"/>
    <w:rsid w:val="005802E2"/>
    <w:rsid w:val="0058067A"/>
    <w:rsid w:val="00585D9C"/>
    <w:rsid w:val="00586837"/>
    <w:rsid w:val="00592877"/>
    <w:rsid w:val="00593CE9"/>
    <w:rsid w:val="00595122"/>
    <w:rsid w:val="005957A5"/>
    <w:rsid w:val="00596228"/>
    <w:rsid w:val="00596D1A"/>
    <w:rsid w:val="005A0061"/>
    <w:rsid w:val="005A098E"/>
    <w:rsid w:val="005A289D"/>
    <w:rsid w:val="005A3A58"/>
    <w:rsid w:val="005A54F5"/>
    <w:rsid w:val="005A7317"/>
    <w:rsid w:val="005A7993"/>
    <w:rsid w:val="005B020B"/>
    <w:rsid w:val="005B23FB"/>
    <w:rsid w:val="005C2B28"/>
    <w:rsid w:val="005C2CF0"/>
    <w:rsid w:val="005C5E0D"/>
    <w:rsid w:val="005C6549"/>
    <w:rsid w:val="005C70A3"/>
    <w:rsid w:val="005D046B"/>
    <w:rsid w:val="005D14DA"/>
    <w:rsid w:val="005D7F3A"/>
    <w:rsid w:val="005E053C"/>
    <w:rsid w:val="005E1251"/>
    <w:rsid w:val="005E1B5C"/>
    <w:rsid w:val="005E22EC"/>
    <w:rsid w:val="005E2AAC"/>
    <w:rsid w:val="005E35B1"/>
    <w:rsid w:val="005E3D88"/>
    <w:rsid w:val="005E3E99"/>
    <w:rsid w:val="005E4291"/>
    <w:rsid w:val="005E5177"/>
    <w:rsid w:val="005E705D"/>
    <w:rsid w:val="005E75E2"/>
    <w:rsid w:val="005E77A7"/>
    <w:rsid w:val="005E7AF0"/>
    <w:rsid w:val="005F3E58"/>
    <w:rsid w:val="005F40DB"/>
    <w:rsid w:val="005F415F"/>
    <w:rsid w:val="005F6CFA"/>
    <w:rsid w:val="005F6FF8"/>
    <w:rsid w:val="00600C04"/>
    <w:rsid w:val="00600DB4"/>
    <w:rsid w:val="00600F9F"/>
    <w:rsid w:val="00602860"/>
    <w:rsid w:val="00604041"/>
    <w:rsid w:val="00604191"/>
    <w:rsid w:val="00605B7D"/>
    <w:rsid w:val="00610386"/>
    <w:rsid w:val="00611221"/>
    <w:rsid w:val="00611728"/>
    <w:rsid w:val="006133B1"/>
    <w:rsid w:val="0061406B"/>
    <w:rsid w:val="006151C9"/>
    <w:rsid w:val="0061719F"/>
    <w:rsid w:val="00617366"/>
    <w:rsid w:val="00617A25"/>
    <w:rsid w:val="00620E86"/>
    <w:rsid w:val="00620F77"/>
    <w:rsid w:val="00624B21"/>
    <w:rsid w:val="00627429"/>
    <w:rsid w:val="00627C37"/>
    <w:rsid w:val="00630384"/>
    <w:rsid w:val="006323BC"/>
    <w:rsid w:val="00633753"/>
    <w:rsid w:val="00633C5D"/>
    <w:rsid w:val="00634A05"/>
    <w:rsid w:val="00635B8A"/>
    <w:rsid w:val="00637221"/>
    <w:rsid w:val="006373BE"/>
    <w:rsid w:val="00640D23"/>
    <w:rsid w:val="006421AC"/>
    <w:rsid w:val="006427A1"/>
    <w:rsid w:val="0064321B"/>
    <w:rsid w:val="00643832"/>
    <w:rsid w:val="006450AC"/>
    <w:rsid w:val="00647524"/>
    <w:rsid w:val="006510C0"/>
    <w:rsid w:val="006520A0"/>
    <w:rsid w:val="006524BC"/>
    <w:rsid w:val="006546A2"/>
    <w:rsid w:val="0066051E"/>
    <w:rsid w:val="0066124E"/>
    <w:rsid w:val="006613DE"/>
    <w:rsid w:val="0066262D"/>
    <w:rsid w:val="00663A6C"/>
    <w:rsid w:val="00663E26"/>
    <w:rsid w:val="00670BDB"/>
    <w:rsid w:val="00671041"/>
    <w:rsid w:val="00671C2F"/>
    <w:rsid w:val="0067245B"/>
    <w:rsid w:val="0067415D"/>
    <w:rsid w:val="0067528C"/>
    <w:rsid w:val="00680A0D"/>
    <w:rsid w:val="00681153"/>
    <w:rsid w:val="00681D29"/>
    <w:rsid w:val="00681D91"/>
    <w:rsid w:val="00682C51"/>
    <w:rsid w:val="0068650D"/>
    <w:rsid w:val="0068676B"/>
    <w:rsid w:val="00690C33"/>
    <w:rsid w:val="00691FB5"/>
    <w:rsid w:val="006943A7"/>
    <w:rsid w:val="006A0F18"/>
    <w:rsid w:val="006A1DA8"/>
    <w:rsid w:val="006A40D5"/>
    <w:rsid w:val="006A5294"/>
    <w:rsid w:val="006A60FE"/>
    <w:rsid w:val="006A6FDD"/>
    <w:rsid w:val="006B1DCC"/>
    <w:rsid w:val="006B2961"/>
    <w:rsid w:val="006B311B"/>
    <w:rsid w:val="006C18A3"/>
    <w:rsid w:val="006C3FD1"/>
    <w:rsid w:val="006C5577"/>
    <w:rsid w:val="006C7AAB"/>
    <w:rsid w:val="006D3A57"/>
    <w:rsid w:val="006D5273"/>
    <w:rsid w:val="006D75EC"/>
    <w:rsid w:val="006E38F4"/>
    <w:rsid w:val="006E4036"/>
    <w:rsid w:val="006E6D8E"/>
    <w:rsid w:val="006E7419"/>
    <w:rsid w:val="006E7560"/>
    <w:rsid w:val="006E7837"/>
    <w:rsid w:val="006F115E"/>
    <w:rsid w:val="006F16C3"/>
    <w:rsid w:val="006F2C65"/>
    <w:rsid w:val="006F612E"/>
    <w:rsid w:val="006F65F9"/>
    <w:rsid w:val="006F6E15"/>
    <w:rsid w:val="00701522"/>
    <w:rsid w:val="00705D20"/>
    <w:rsid w:val="00710D77"/>
    <w:rsid w:val="0071237F"/>
    <w:rsid w:val="00713AE8"/>
    <w:rsid w:val="00714EFA"/>
    <w:rsid w:val="00716982"/>
    <w:rsid w:val="00722686"/>
    <w:rsid w:val="00723849"/>
    <w:rsid w:val="007267E2"/>
    <w:rsid w:val="00730226"/>
    <w:rsid w:val="00730A1B"/>
    <w:rsid w:val="007314C1"/>
    <w:rsid w:val="00734E0C"/>
    <w:rsid w:val="00736C1C"/>
    <w:rsid w:val="00736E8A"/>
    <w:rsid w:val="0073791B"/>
    <w:rsid w:val="0074095D"/>
    <w:rsid w:val="00740BFB"/>
    <w:rsid w:val="00741692"/>
    <w:rsid w:val="0074282F"/>
    <w:rsid w:val="007443A7"/>
    <w:rsid w:val="00744C8C"/>
    <w:rsid w:val="00745E8B"/>
    <w:rsid w:val="00746817"/>
    <w:rsid w:val="00751340"/>
    <w:rsid w:val="007517BF"/>
    <w:rsid w:val="00751A25"/>
    <w:rsid w:val="00751ABA"/>
    <w:rsid w:val="007527D3"/>
    <w:rsid w:val="00754B1A"/>
    <w:rsid w:val="00754D98"/>
    <w:rsid w:val="00760A4B"/>
    <w:rsid w:val="00760A72"/>
    <w:rsid w:val="00761C27"/>
    <w:rsid w:val="00762706"/>
    <w:rsid w:val="0076520D"/>
    <w:rsid w:val="00771464"/>
    <w:rsid w:val="00771C37"/>
    <w:rsid w:val="00774812"/>
    <w:rsid w:val="0078038C"/>
    <w:rsid w:val="00782480"/>
    <w:rsid w:val="00783070"/>
    <w:rsid w:val="0078436F"/>
    <w:rsid w:val="0078464C"/>
    <w:rsid w:val="007851C7"/>
    <w:rsid w:val="0079384A"/>
    <w:rsid w:val="00793D8A"/>
    <w:rsid w:val="007953F9"/>
    <w:rsid w:val="00795C73"/>
    <w:rsid w:val="0079640A"/>
    <w:rsid w:val="007978E7"/>
    <w:rsid w:val="007A18C2"/>
    <w:rsid w:val="007A1917"/>
    <w:rsid w:val="007A1F4D"/>
    <w:rsid w:val="007A225D"/>
    <w:rsid w:val="007A283B"/>
    <w:rsid w:val="007A5754"/>
    <w:rsid w:val="007A6049"/>
    <w:rsid w:val="007A7FC0"/>
    <w:rsid w:val="007B280E"/>
    <w:rsid w:val="007C205A"/>
    <w:rsid w:val="007C2B92"/>
    <w:rsid w:val="007C32DD"/>
    <w:rsid w:val="007C4B23"/>
    <w:rsid w:val="007C596C"/>
    <w:rsid w:val="007C7C1A"/>
    <w:rsid w:val="007D2B78"/>
    <w:rsid w:val="007D7419"/>
    <w:rsid w:val="007E03BC"/>
    <w:rsid w:val="007E36BC"/>
    <w:rsid w:val="007E3C66"/>
    <w:rsid w:val="007E5CBD"/>
    <w:rsid w:val="007E5FF2"/>
    <w:rsid w:val="007E635B"/>
    <w:rsid w:val="007F3154"/>
    <w:rsid w:val="007F5DBD"/>
    <w:rsid w:val="007F617B"/>
    <w:rsid w:val="008002AD"/>
    <w:rsid w:val="00800B88"/>
    <w:rsid w:val="0080130C"/>
    <w:rsid w:val="008108D7"/>
    <w:rsid w:val="00812130"/>
    <w:rsid w:val="008122BE"/>
    <w:rsid w:val="00815165"/>
    <w:rsid w:val="00821724"/>
    <w:rsid w:val="00821A2C"/>
    <w:rsid w:val="008229A4"/>
    <w:rsid w:val="0082640B"/>
    <w:rsid w:val="00830F6A"/>
    <w:rsid w:val="00831A23"/>
    <w:rsid w:val="00831D10"/>
    <w:rsid w:val="008345C6"/>
    <w:rsid w:val="00834686"/>
    <w:rsid w:val="0083620E"/>
    <w:rsid w:val="008372A1"/>
    <w:rsid w:val="00841CBA"/>
    <w:rsid w:val="008423C7"/>
    <w:rsid w:val="00843E55"/>
    <w:rsid w:val="00847E1B"/>
    <w:rsid w:val="0085097F"/>
    <w:rsid w:val="008529B4"/>
    <w:rsid w:val="008539E1"/>
    <w:rsid w:val="00854260"/>
    <w:rsid w:val="008543DB"/>
    <w:rsid w:val="0085562E"/>
    <w:rsid w:val="00856269"/>
    <w:rsid w:val="00856D9C"/>
    <w:rsid w:val="00857A00"/>
    <w:rsid w:val="0086100D"/>
    <w:rsid w:val="00861F5B"/>
    <w:rsid w:val="00863593"/>
    <w:rsid w:val="00867665"/>
    <w:rsid w:val="008748B0"/>
    <w:rsid w:val="0087628B"/>
    <w:rsid w:val="008773F2"/>
    <w:rsid w:val="00877A77"/>
    <w:rsid w:val="00880E38"/>
    <w:rsid w:val="00882360"/>
    <w:rsid w:val="00884AD1"/>
    <w:rsid w:val="00886C78"/>
    <w:rsid w:val="00886E39"/>
    <w:rsid w:val="008873BA"/>
    <w:rsid w:val="00887834"/>
    <w:rsid w:val="00890031"/>
    <w:rsid w:val="008912EA"/>
    <w:rsid w:val="0089141B"/>
    <w:rsid w:val="00897A8C"/>
    <w:rsid w:val="008A110B"/>
    <w:rsid w:val="008A1E8C"/>
    <w:rsid w:val="008A29C9"/>
    <w:rsid w:val="008A37C1"/>
    <w:rsid w:val="008A4167"/>
    <w:rsid w:val="008A68B2"/>
    <w:rsid w:val="008A7986"/>
    <w:rsid w:val="008B160D"/>
    <w:rsid w:val="008B1D23"/>
    <w:rsid w:val="008B1F88"/>
    <w:rsid w:val="008B2578"/>
    <w:rsid w:val="008B2F67"/>
    <w:rsid w:val="008B3164"/>
    <w:rsid w:val="008B3CC1"/>
    <w:rsid w:val="008B438F"/>
    <w:rsid w:val="008B49AA"/>
    <w:rsid w:val="008B7FCA"/>
    <w:rsid w:val="008D1DBD"/>
    <w:rsid w:val="008D43EF"/>
    <w:rsid w:val="008D6855"/>
    <w:rsid w:val="008E0DE2"/>
    <w:rsid w:val="008E3DBC"/>
    <w:rsid w:val="008E4B2F"/>
    <w:rsid w:val="008E557D"/>
    <w:rsid w:val="008E57B2"/>
    <w:rsid w:val="008E7172"/>
    <w:rsid w:val="008F16CC"/>
    <w:rsid w:val="008F540D"/>
    <w:rsid w:val="00902ED4"/>
    <w:rsid w:val="009034C3"/>
    <w:rsid w:val="0090553C"/>
    <w:rsid w:val="0090696B"/>
    <w:rsid w:val="0091041F"/>
    <w:rsid w:val="00913EF8"/>
    <w:rsid w:val="009145ED"/>
    <w:rsid w:val="00914EC3"/>
    <w:rsid w:val="00914F43"/>
    <w:rsid w:val="00914F70"/>
    <w:rsid w:val="009165FB"/>
    <w:rsid w:val="00917164"/>
    <w:rsid w:val="00917E70"/>
    <w:rsid w:val="00921C85"/>
    <w:rsid w:val="00923DFB"/>
    <w:rsid w:val="00924FDA"/>
    <w:rsid w:val="009339D1"/>
    <w:rsid w:val="00935415"/>
    <w:rsid w:val="00935804"/>
    <w:rsid w:val="00940DDE"/>
    <w:rsid w:val="009415EE"/>
    <w:rsid w:val="00943164"/>
    <w:rsid w:val="00943421"/>
    <w:rsid w:val="00944265"/>
    <w:rsid w:val="0094432D"/>
    <w:rsid w:val="00944625"/>
    <w:rsid w:val="00950804"/>
    <w:rsid w:val="0095122B"/>
    <w:rsid w:val="009531FF"/>
    <w:rsid w:val="00955037"/>
    <w:rsid w:val="00955FE8"/>
    <w:rsid w:val="0095656B"/>
    <w:rsid w:val="00962591"/>
    <w:rsid w:val="009638D9"/>
    <w:rsid w:val="00966195"/>
    <w:rsid w:val="00966C6D"/>
    <w:rsid w:val="00966E41"/>
    <w:rsid w:val="00967798"/>
    <w:rsid w:val="00975C60"/>
    <w:rsid w:val="009763FC"/>
    <w:rsid w:val="0097748E"/>
    <w:rsid w:val="00980F6F"/>
    <w:rsid w:val="009844CC"/>
    <w:rsid w:val="00984672"/>
    <w:rsid w:val="00984A3F"/>
    <w:rsid w:val="00986F51"/>
    <w:rsid w:val="00987983"/>
    <w:rsid w:val="00990055"/>
    <w:rsid w:val="0099082C"/>
    <w:rsid w:val="0099174A"/>
    <w:rsid w:val="0099200E"/>
    <w:rsid w:val="00992395"/>
    <w:rsid w:val="00992818"/>
    <w:rsid w:val="009931EA"/>
    <w:rsid w:val="00993F00"/>
    <w:rsid w:val="00994201"/>
    <w:rsid w:val="009949F8"/>
    <w:rsid w:val="00995430"/>
    <w:rsid w:val="00996ADC"/>
    <w:rsid w:val="009A0FDC"/>
    <w:rsid w:val="009A147F"/>
    <w:rsid w:val="009A35A2"/>
    <w:rsid w:val="009B022B"/>
    <w:rsid w:val="009B343B"/>
    <w:rsid w:val="009B4CC6"/>
    <w:rsid w:val="009B4DBE"/>
    <w:rsid w:val="009B5A48"/>
    <w:rsid w:val="009B63A7"/>
    <w:rsid w:val="009B71B0"/>
    <w:rsid w:val="009B7868"/>
    <w:rsid w:val="009B7BB1"/>
    <w:rsid w:val="009C19F1"/>
    <w:rsid w:val="009C79DA"/>
    <w:rsid w:val="009D09E3"/>
    <w:rsid w:val="009D2DB4"/>
    <w:rsid w:val="009D5716"/>
    <w:rsid w:val="009D68A4"/>
    <w:rsid w:val="009D79F1"/>
    <w:rsid w:val="009E14BE"/>
    <w:rsid w:val="009E360D"/>
    <w:rsid w:val="009E4E7D"/>
    <w:rsid w:val="009E5398"/>
    <w:rsid w:val="009E5C31"/>
    <w:rsid w:val="009E6894"/>
    <w:rsid w:val="009E6E31"/>
    <w:rsid w:val="009E7771"/>
    <w:rsid w:val="009F064A"/>
    <w:rsid w:val="009F3DEA"/>
    <w:rsid w:val="009F4510"/>
    <w:rsid w:val="009F604B"/>
    <w:rsid w:val="009F6492"/>
    <w:rsid w:val="00A00123"/>
    <w:rsid w:val="00A01368"/>
    <w:rsid w:val="00A0377E"/>
    <w:rsid w:val="00A03C7A"/>
    <w:rsid w:val="00A0425E"/>
    <w:rsid w:val="00A04670"/>
    <w:rsid w:val="00A05A64"/>
    <w:rsid w:val="00A05C90"/>
    <w:rsid w:val="00A05DF1"/>
    <w:rsid w:val="00A067FC"/>
    <w:rsid w:val="00A100BF"/>
    <w:rsid w:val="00A135B2"/>
    <w:rsid w:val="00A150E0"/>
    <w:rsid w:val="00A163CD"/>
    <w:rsid w:val="00A16DA3"/>
    <w:rsid w:val="00A223DE"/>
    <w:rsid w:val="00A23154"/>
    <w:rsid w:val="00A235D1"/>
    <w:rsid w:val="00A2617C"/>
    <w:rsid w:val="00A26B38"/>
    <w:rsid w:val="00A27A81"/>
    <w:rsid w:val="00A30671"/>
    <w:rsid w:val="00A353E0"/>
    <w:rsid w:val="00A36C25"/>
    <w:rsid w:val="00A36FB3"/>
    <w:rsid w:val="00A373BE"/>
    <w:rsid w:val="00A408A2"/>
    <w:rsid w:val="00A432D6"/>
    <w:rsid w:val="00A434C5"/>
    <w:rsid w:val="00A44AC9"/>
    <w:rsid w:val="00A44BB5"/>
    <w:rsid w:val="00A45108"/>
    <w:rsid w:val="00A46F36"/>
    <w:rsid w:val="00A515A8"/>
    <w:rsid w:val="00A52180"/>
    <w:rsid w:val="00A52FB7"/>
    <w:rsid w:val="00A56945"/>
    <w:rsid w:val="00A5784F"/>
    <w:rsid w:val="00A61072"/>
    <w:rsid w:val="00A65654"/>
    <w:rsid w:val="00A660A5"/>
    <w:rsid w:val="00A668FE"/>
    <w:rsid w:val="00A670CE"/>
    <w:rsid w:val="00A70226"/>
    <w:rsid w:val="00A708FA"/>
    <w:rsid w:val="00A70AC8"/>
    <w:rsid w:val="00A70EF2"/>
    <w:rsid w:val="00A74658"/>
    <w:rsid w:val="00A77BBE"/>
    <w:rsid w:val="00A81990"/>
    <w:rsid w:val="00A82B4A"/>
    <w:rsid w:val="00A85AF0"/>
    <w:rsid w:val="00A90A2C"/>
    <w:rsid w:val="00A9396D"/>
    <w:rsid w:val="00A947BC"/>
    <w:rsid w:val="00A95C48"/>
    <w:rsid w:val="00AA1163"/>
    <w:rsid w:val="00AA1B4A"/>
    <w:rsid w:val="00AA20EE"/>
    <w:rsid w:val="00AA3D6D"/>
    <w:rsid w:val="00AA45A7"/>
    <w:rsid w:val="00AA5BCF"/>
    <w:rsid w:val="00AA6E35"/>
    <w:rsid w:val="00AA7301"/>
    <w:rsid w:val="00AA7DFA"/>
    <w:rsid w:val="00AB242E"/>
    <w:rsid w:val="00AB3977"/>
    <w:rsid w:val="00AB44E7"/>
    <w:rsid w:val="00AB5771"/>
    <w:rsid w:val="00AB5D4B"/>
    <w:rsid w:val="00AB6B31"/>
    <w:rsid w:val="00AB78DB"/>
    <w:rsid w:val="00AB7F44"/>
    <w:rsid w:val="00AC383A"/>
    <w:rsid w:val="00AC4C72"/>
    <w:rsid w:val="00AC63CB"/>
    <w:rsid w:val="00AC6D42"/>
    <w:rsid w:val="00AC7935"/>
    <w:rsid w:val="00AD1319"/>
    <w:rsid w:val="00AD178A"/>
    <w:rsid w:val="00AD1800"/>
    <w:rsid w:val="00AD4690"/>
    <w:rsid w:val="00AD565E"/>
    <w:rsid w:val="00AD590C"/>
    <w:rsid w:val="00AD6EEF"/>
    <w:rsid w:val="00AE0168"/>
    <w:rsid w:val="00AE0395"/>
    <w:rsid w:val="00AE3A16"/>
    <w:rsid w:val="00AE3E34"/>
    <w:rsid w:val="00AE678F"/>
    <w:rsid w:val="00AF0BB5"/>
    <w:rsid w:val="00AF1AA6"/>
    <w:rsid w:val="00AF2B18"/>
    <w:rsid w:val="00AF362D"/>
    <w:rsid w:val="00AF43C8"/>
    <w:rsid w:val="00AF5141"/>
    <w:rsid w:val="00AF620D"/>
    <w:rsid w:val="00B00B37"/>
    <w:rsid w:val="00B01805"/>
    <w:rsid w:val="00B01C16"/>
    <w:rsid w:val="00B01FCE"/>
    <w:rsid w:val="00B03A12"/>
    <w:rsid w:val="00B03F65"/>
    <w:rsid w:val="00B0403F"/>
    <w:rsid w:val="00B048F0"/>
    <w:rsid w:val="00B04E9D"/>
    <w:rsid w:val="00B076B4"/>
    <w:rsid w:val="00B10558"/>
    <w:rsid w:val="00B106A4"/>
    <w:rsid w:val="00B112CF"/>
    <w:rsid w:val="00B13BCB"/>
    <w:rsid w:val="00B13E92"/>
    <w:rsid w:val="00B14524"/>
    <w:rsid w:val="00B145F5"/>
    <w:rsid w:val="00B1613C"/>
    <w:rsid w:val="00B16469"/>
    <w:rsid w:val="00B16810"/>
    <w:rsid w:val="00B16D75"/>
    <w:rsid w:val="00B1749E"/>
    <w:rsid w:val="00B20A87"/>
    <w:rsid w:val="00B21EC6"/>
    <w:rsid w:val="00B23AFB"/>
    <w:rsid w:val="00B252A2"/>
    <w:rsid w:val="00B26535"/>
    <w:rsid w:val="00B26901"/>
    <w:rsid w:val="00B3018D"/>
    <w:rsid w:val="00B3466D"/>
    <w:rsid w:val="00B36594"/>
    <w:rsid w:val="00B3703A"/>
    <w:rsid w:val="00B378EC"/>
    <w:rsid w:val="00B4065B"/>
    <w:rsid w:val="00B41248"/>
    <w:rsid w:val="00B4391C"/>
    <w:rsid w:val="00B4558F"/>
    <w:rsid w:val="00B46CA0"/>
    <w:rsid w:val="00B46DF2"/>
    <w:rsid w:val="00B50401"/>
    <w:rsid w:val="00B51321"/>
    <w:rsid w:val="00B51BBA"/>
    <w:rsid w:val="00B53509"/>
    <w:rsid w:val="00B541E5"/>
    <w:rsid w:val="00B544B3"/>
    <w:rsid w:val="00B54780"/>
    <w:rsid w:val="00B578C0"/>
    <w:rsid w:val="00B61247"/>
    <w:rsid w:val="00B64028"/>
    <w:rsid w:val="00B64D1C"/>
    <w:rsid w:val="00B66682"/>
    <w:rsid w:val="00B66FD0"/>
    <w:rsid w:val="00B70635"/>
    <w:rsid w:val="00B70866"/>
    <w:rsid w:val="00B70BB7"/>
    <w:rsid w:val="00B71877"/>
    <w:rsid w:val="00B73561"/>
    <w:rsid w:val="00B75906"/>
    <w:rsid w:val="00B83DEC"/>
    <w:rsid w:val="00B86B29"/>
    <w:rsid w:val="00B87BB7"/>
    <w:rsid w:val="00B927CB"/>
    <w:rsid w:val="00B930E0"/>
    <w:rsid w:val="00B93B1E"/>
    <w:rsid w:val="00B95593"/>
    <w:rsid w:val="00B961FD"/>
    <w:rsid w:val="00B97862"/>
    <w:rsid w:val="00B97CE0"/>
    <w:rsid w:val="00BA026E"/>
    <w:rsid w:val="00BA0C45"/>
    <w:rsid w:val="00BA0F6B"/>
    <w:rsid w:val="00BA160B"/>
    <w:rsid w:val="00BA1FAC"/>
    <w:rsid w:val="00BA2B87"/>
    <w:rsid w:val="00BA5514"/>
    <w:rsid w:val="00BB0699"/>
    <w:rsid w:val="00BB079A"/>
    <w:rsid w:val="00BB1730"/>
    <w:rsid w:val="00BB2FF6"/>
    <w:rsid w:val="00BB423C"/>
    <w:rsid w:val="00BB4326"/>
    <w:rsid w:val="00BB4563"/>
    <w:rsid w:val="00BC1128"/>
    <w:rsid w:val="00BC1665"/>
    <w:rsid w:val="00BC1B72"/>
    <w:rsid w:val="00BC5377"/>
    <w:rsid w:val="00BC61B4"/>
    <w:rsid w:val="00BC6F17"/>
    <w:rsid w:val="00BC7A89"/>
    <w:rsid w:val="00BC7A96"/>
    <w:rsid w:val="00BD0337"/>
    <w:rsid w:val="00BD15A9"/>
    <w:rsid w:val="00BD219F"/>
    <w:rsid w:val="00BD28C2"/>
    <w:rsid w:val="00BD3CBA"/>
    <w:rsid w:val="00BD7D54"/>
    <w:rsid w:val="00BE3430"/>
    <w:rsid w:val="00BE36C3"/>
    <w:rsid w:val="00BE3F72"/>
    <w:rsid w:val="00BE403B"/>
    <w:rsid w:val="00BE495F"/>
    <w:rsid w:val="00BE6B4E"/>
    <w:rsid w:val="00BE6E4B"/>
    <w:rsid w:val="00BF0456"/>
    <w:rsid w:val="00BF05E6"/>
    <w:rsid w:val="00BF544C"/>
    <w:rsid w:val="00BF58E7"/>
    <w:rsid w:val="00BF5CC8"/>
    <w:rsid w:val="00BF75E4"/>
    <w:rsid w:val="00C02D2A"/>
    <w:rsid w:val="00C02F95"/>
    <w:rsid w:val="00C06E6D"/>
    <w:rsid w:val="00C0704D"/>
    <w:rsid w:val="00C0784F"/>
    <w:rsid w:val="00C11112"/>
    <w:rsid w:val="00C11733"/>
    <w:rsid w:val="00C11EAE"/>
    <w:rsid w:val="00C124F7"/>
    <w:rsid w:val="00C12FD0"/>
    <w:rsid w:val="00C14DE1"/>
    <w:rsid w:val="00C1600E"/>
    <w:rsid w:val="00C20947"/>
    <w:rsid w:val="00C22516"/>
    <w:rsid w:val="00C24286"/>
    <w:rsid w:val="00C247B9"/>
    <w:rsid w:val="00C24EC4"/>
    <w:rsid w:val="00C25904"/>
    <w:rsid w:val="00C2695F"/>
    <w:rsid w:val="00C2744C"/>
    <w:rsid w:val="00C27F7D"/>
    <w:rsid w:val="00C33ABD"/>
    <w:rsid w:val="00C357CB"/>
    <w:rsid w:val="00C35838"/>
    <w:rsid w:val="00C361BD"/>
    <w:rsid w:val="00C36A28"/>
    <w:rsid w:val="00C3796E"/>
    <w:rsid w:val="00C40540"/>
    <w:rsid w:val="00C415D0"/>
    <w:rsid w:val="00C42A2B"/>
    <w:rsid w:val="00C430B0"/>
    <w:rsid w:val="00C438F5"/>
    <w:rsid w:val="00C44B83"/>
    <w:rsid w:val="00C463E3"/>
    <w:rsid w:val="00C4684D"/>
    <w:rsid w:val="00C47C65"/>
    <w:rsid w:val="00C55524"/>
    <w:rsid w:val="00C57B39"/>
    <w:rsid w:val="00C607BE"/>
    <w:rsid w:val="00C61B47"/>
    <w:rsid w:val="00C629C9"/>
    <w:rsid w:val="00C645B2"/>
    <w:rsid w:val="00C64ACA"/>
    <w:rsid w:val="00C657F5"/>
    <w:rsid w:val="00C707C3"/>
    <w:rsid w:val="00C72453"/>
    <w:rsid w:val="00C724CF"/>
    <w:rsid w:val="00C7409D"/>
    <w:rsid w:val="00C74235"/>
    <w:rsid w:val="00C767E0"/>
    <w:rsid w:val="00C76C41"/>
    <w:rsid w:val="00C77641"/>
    <w:rsid w:val="00C77BAE"/>
    <w:rsid w:val="00C80EE2"/>
    <w:rsid w:val="00C8140F"/>
    <w:rsid w:val="00C82B21"/>
    <w:rsid w:val="00C871AD"/>
    <w:rsid w:val="00C879E1"/>
    <w:rsid w:val="00C914B8"/>
    <w:rsid w:val="00C92BA3"/>
    <w:rsid w:val="00C94467"/>
    <w:rsid w:val="00CA1BF3"/>
    <w:rsid w:val="00CA5279"/>
    <w:rsid w:val="00CA5769"/>
    <w:rsid w:val="00CB0C29"/>
    <w:rsid w:val="00CB0C5B"/>
    <w:rsid w:val="00CB0F7A"/>
    <w:rsid w:val="00CB13F3"/>
    <w:rsid w:val="00CB3F4D"/>
    <w:rsid w:val="00CB506D"/>
    <w:rsid w:val="00CB51DB"/>
    <w:rsid w:val="00CB63EA"/>
    <w:rsid w:val="00CB66B2"/>
    <w:rsid w:val="00CB732E"/>
    <w:rsid w:val="00CC5996"/>
    <w:rsid w:val="00CC6850"/>
    <w:rsid w:val="00CC7250"/>
    <w:rsid w:val="00CC77D3"/>
    <w:rsid w:val="00CC7FD4"/>
    <w:rsid w:val="00CD311C"/>
    <w:rsid w:val="00CD5430"/>
    <w:rsid w:val="00CD6080"/>
    <w:rsid w:val="00CE1294"/>
    <w:rsid w:val="00CE2F1A"/>
    <w:rsid w:val="00CE422E"/>
    <w:rsid w:val="00CE437C"/>
    <w:rsid w:val="00CE7625"/>
    <w:rsid w:val="00CF0D51"/>
    <w:rsid w:val="00CF17FC"/>
    <w:rsid w:val="00CF4EB0"/>
    <w:rsid w:val="00CF522F"/>
    <w:rsid w:val="00D00C5C"/>
    <w:rsid w:val="00D01785"/>
    <w:rsid w:val="00D01790"/>
    <w:rsid w:val="00D10606"/>
    <w:rsid w:val="00D10BFC"/>
    <w:rsid w:val="00D13737"/>
    <w:rsid w:val="00D1511E"/>
    <w:rsid w:val="00D16ADD"/>
    <w:rsid w:val="00D21C30"/>
    <w:rsid w:val="00D2469D"/>
    <w:rsid w:val="00D274E5"/>
    <w:rsid w:val="00D3144A"/>
    <w:rsid w:val="00D32767"/>
    <w:rsid w:val="00D3293E"/>
    <w:rsid w:val="00D368CD"/>
    <w:rsid w:val="00D36902"/>
    <w:rsid w:val="00D36C44"/>
    <w:rsid w:val="00D37C08"/>
    <w:rsid w:val="00D4120D"/>
    <w:rsid w:val="00D4193D"/>
    <w:rsid w:val="00D438E3"/>
    <w:rsid w:val="00D43C05"/>
    <w:rsid w:val="00D4700F"/>
    <w:rsid w:val="00D514B1"/>
    <w:rsid w:val="00D52794"/>
    <w:rsid w:val="00D52A25"/>
    <w:rsid w:val="00D53BAD"/>
    <w:rsid w:val="00D54F02"/>
    <w:rsid w:val="00D56BC7"/>
    <w:rsid w:val="00D579FE"/>
    <w:rsid w:val="00D61268"/>
    <w:rsid w:val="00D6291F"/>
    <w:rsid w:val="00D63AD8"/>
    <w:rsid w:val="00D63CC2"/>
    <w:rsid w:val="00D70C8C"/>
    <w:rsid w:val="00D71D30"/>
    <w:rsid w:val="00D7351F"/>
    <w:rsid w:val="00D73ABD"/>
    <w:rsid w:val="00D7460C"/>
    <w:rsid w:val="00D74DAD"/>
    <w:rsid w:val="00D759F0"/>
    <w:rsid w:val="00D77FC7"/>
    <w:rsid w:val="00D81417"/>
    <w:rsid w:val="00D83F37"/>
    <w:rsid w:val="00D841BC"/>
    <w:rsid w:val="00D842C2"/>
    <w:rsid w:val="00D84B5D"/>
    <w:rsid w:val="00D84BBC"/>
    <w:rsid w:val="00D87518"/>
    <w:rsid w:val="00D90F34"/>
    <w:rsid w:val="00D931D2"/>
    <w:rsid w:val="00D94B37"/>
    <w:rsid w:val="00D958DD"/>
    <w:rsid w:val="00D96769"/>
    <w:rsid w:val="00D971F7"/>
    <w:rsid w:val="00D978D5"/>
    <w:rsid w:val="00DA08A1"/>
    <w:rsid w:val="00DA6255"/>
    <w:rsid w:val="00DA682D"/>
    <w:rsid w:val="00DA6AFA"/>
    <w:rsid w:val="00DB12F8"/>
    <w:rsid w:val="00DB18EC"/>
    <w:rsid w:val="00DB6629"/>
    <w:rsid w:val="00DC01B7"/>
    <w:rsid w:val="00DC1FD4"/>
    <w:rsid w:val="00DC2156"/>
    <w:rsid w:val="00DC3299"/>
    <w:rsid w:val="00DC4A8D"/>
    <w:rsid w:val="00DC52CF"/>
    <w:rsid w:val="00DD0860"/>
    <w:rsid w:val="00DD4CE0"/>
    <w:rsid w:val="00DD752C"/>
    <w:rsid w:val="00DE12D4"/>
    <w:rsid w:val="00DE1CEF"/>
    <w:rsid w:val="00DE2198"/>
    <w:rsid w:val="00DE4525"/>
    <w:rsid w:val="00DE5BD3"/>
    <w:rsid w:val="00DE6098"/>
    <w:rsid w:val="00DE6CBD"/>
    <w:rsid w:val="00DE77D4"/>
    <w:rsid w:val="00DE7AC3"/>
    <w:rsid w:val="00DF1349"/>
    <w:rsid w:val="00DF2CDB"/>
    <w:rsid w:val="00DF372E"/>
    <w:rsid w:val="00DF3D5A"/>
    <w:rsid w:val="00DF3FEE"/>
    <w:rsid w:val="00DF533D"/>
    <w:rsid w:val="00DF693B"/>
    <w:rsid w:val="00DF6A7C"/>
    <w:rsid w:val="00DF6B2E"/>
    <w:rsid w:val="00E005BC"/>
    <w:rsid w:val="00E014ED"/>
    <w:rsid w:val="00E01B3A"/>
    <w:rsid w:val="00E034DC"/>
    <w:rsid w:val="00E0552A"/>
    <w:rsid w:val="00E069B2"/>
    <w:rsid w:val="00E07A06"/>
    <w:rsid w:val="00E07A44"/>
    <w:rsid w:val="00E11E80"/>
    <w:rsid w:val="00E15015"/>
    <w:rsid w:val="00E156EA"/>
    <w:rsid w:val="00E170FA"/>
    <w:rsid w:val="00E211E3"/>
    <w:rsid w:val="00E30275"/>
    <w:rsid w:val="00E30C6E"/>
    <w:rsid w:val="00E30D8A"/>
    <w:rsid w:val="00E316BB"/>
    <w:rsid w:val="00E327C8"/>
    <w:rsid w:val="00E3300C"/>
    <w:rsid w:val="00E346E5"/>
    <w:rsid w:val="00E34C68"/>
    <w:rsid w:val="00E36DC3"/>
    <w:rsid w:val="00E413F1"/>
    <w:rsid w:val="00E426ED"/>
    <w:rsid w:val="00E42D2E"/>
    <w:rsid w:val="00E44AE0"/>
    <w:rsid w:val="00E46114"/>
    <w:rsid w:val="00E50DE6"/>
    <w:rsid w:val="00E531A3"/>
    <w:rsid w:val="00E53EB4"/>
    <w:rsid w:val="00E550EC"/>
    <w:rsid w:val="00E552F1"/>
    <w:rsid w:val="00E554AF"/>
    <w:rsid w:val="00E56FD4"/>
    <w:rsid w:val="00E63DBA"/>
    <w:rsid w:val="00E66C03"/>
    <w:rsid w:val="00E728CB"/>
    <w:rsid w:val="00E72C6C"/>
    <w:rsid w:val="00E73049"/>
    <w:rsid w:val="00E74765"/>
    <w:rsid w:val="00E74B53"/>
    <w:rsid w:val="00E74BBF"/>
    <w:rsid w:val="00E76672"/>
    <w:rsid w:val="00E81BEF"/>
    <w:rsid w:val="00E8205B"/>
    <w:rsid w:val="00E846F2"/>
    <w:rsid w:val="00E90512"/>
    <w:rsid w:val="00E90C4D"/>
    <w:rsid w:val="00E91697"/>
    <w:rsid w:val="00E9278F"/>
    <w:rsid w:val="00E92A53"/>
    <w:rsid w:val="00E94281"/>
    <w:rsid w:val="00E96C36"/>
    <w:rsid w:val="00EA034D"/>
    <w:rsid w:val="00EA1BFE"/>
    <w:rsid w:val="00EA32FD"/>
    <w:rsid w:val="00EA38AE"/>
    <w:rsid w:val="00EA5095"/>
    <w:rsid w:val="00EA73E4"/>
    <w:rsid w:val="00EA75B3"/>
    <w:rsid w:val="00EB15F3"/>
    <w:rsid w:val="00EB1B11"/>
    <w:rsid w:val="00EB2700"/>
    <w:rsid w:val="00EB2F76"/>
    <w:rsid w:val="00EB50C7"/>
    <w:rsid w:val="00EB6667"/>
    <w:rsid w:val="00EC2727"/>
    <w:rsid w:val="00EC3F2C"/>
    <w:rsid w:val="00EC4300"/>
    <w:rsid w:val="00EC4C56"/>
    <w:rsid w:val="00EC6AB1"/>
    <w:rsid w:val="00EC759F"/>
    <w:rsid w:val="00ED1252"/>
    <w:rsid w:val="00ED1F22"/>
    <w:rsid w:val="00ED4F36"/>
    <w:rsid w:val="00ED6E6A"/>
    <w:rsid w:val="00ED6F59"/>
    <w:rsid w:val="00EE192E"/>
    <w:rsid w:val="00EE2C94"/>
    <w:rsid w:val="00EE4497"/>
    <w:rsid w:val="00EE75C7"/>
    <w:rsid w:val="00EF1F54"/>
    <w:rsid w:val="00EF36C1"/>
    <w:rsid w:val="00EF4D08"/>
    <w:rsid w:val="00EF7A2C"/>
    <w:rsid w:val="00F01207"/>
    <w:rsid w:val="00F024E5"/>
    <w:rsid w:val="00F02AB3"/>
    <w:rsid w:val="00F03E3B"/>
    <w:rsid w:val="00F0584B"/>
    <w:rsid w:val="00F06179"/>
    <w:rsid w:val="00F079DB"/>
    <w:rsid w:val="00F07B1B"/>
    <w:rsid w:val="00F07C50"/>
    <w:rsid w:val="00F10511"/>
    <w:rsid w:val="00F13B69"/>
    <w:rsid w:val="00F2243D"/>
    <w:rsid w:val="00F23121"/>
    <w:rsid w:val="00F23BEA"/>
    <w:rsid w:val="00F25780"/>
    <w:rsid w:val="00F25A6C"/>
    <w:rsid w:val="00F26827"/>
    <w:rsid w:val="00F27740"/>
    <w:rsid w:val="00F27D90"/>
    <w:rsid w:val="00F3142D"/>
    <w:rsid w:val="00F31744"/>
    <w:rsid w:val="00F31A1F"/>
    <w:rsid w:val="00F33C2E"/>
    <w:rsid w:val="00F33FFA"/>
    <w:rsid w:val="00F34E75"/>
    <w:rsid w:val="00F35282"/>
    <w:rsid w:val="00F3634E"/>
    <w:rsid w:val="00F36AB7"/>
    <w:rsid w:val="00F4174C"/>
    <w:rsid w:val="00F42F86"/>
    <w:rsid w:val="00F44501"/>
    <w:rsid w:val="00F47066"/>
    <w:rsid w:val="00F47F2B"/>
    <w:rsid w:val="00F51077"/>
    <w:rsid w:val="00F52535"/>
    <w:rsid w:val="00F55E08"/>
    <w:rsid w:val="00F5636C"/>
    <w:rsid w:val="00F56F40"/>
    <w:rsid w:val="00F57D23"/>
    <w:rsid w:val="00F57E6E"/>
    <w:rsid w:val="00F600BA"/>
    <w:rsid w:val="00F615D9"/>
    <w:rsid w:val="00F6292B"/>
    <w:rsid w:val="00F63E2F"/>
    <w:rsid w:val="00F63F8E"/>
    <w:rsid w:val="00F6594A"/>
    <w:rsid w:val="00F65DFA"/>
    <w:rsid w:val="00F71520"/>
    <w:rsid w:val="00F73A5E"/>
    <w:rsid w:val="00F75F36"/>
    <w:rsid w:val="00F76CF4"/>
    <w:rsid w:val="00F76DA6"/>
    <w:rsid w:val="00F81A60"/>
    <w:rsid w:val="00F842E6"/>
    <w:rsid w:val="00F84E95"/>
    <w:rsid w:val="00F85B62"/>
    <w:rsid w:val="00F86EBD"/>
    <w:rsid w:val="00F90670"/>
    <w:rsid w:val="00F91182"/>
    <w:rsid w:val="00F93BC7"/>
    <w:rsid w:val="00F9407F"/>
    <w:rsid w:val="00F94369"/>
    <w:rsid w:val="00F94B89"/>
    <w:rsid w:val="00F96619"/>
    <w:rsid w:val="00F969C1"/>
    <w:rsid w:val="00F974D0"/>
    <w:rsid w:val="00F97F67"/>
    <w:rsid w:val="00FA0772"/>
    <w:rsid w:val="00FA1103"/>
    <w:rsid w:val="00FA184D"/>
    <w:rsid w:val="00FA1C94"/>
    <w:rsid w:val="00FA2356"/>
    <w:rsid w:val="00FA4397"/>
    <w:rsid w:val="00FA48BE"/>
    <w:rsid w:val="00FA4E8F"/>
    <w:rsid w:val="00FA681D"/>
    <w:rsid w:val="00FA6F2C"/>
    <w:rsid w:val="00FB0911"/>
    <w:rsid w:val="00FB4BA8"/>
    <w:rsid w:val="00FB4D32"/>
    <w:rsid w:val="00FB510E"/>
    <w:rsid w:val="00FB5DBB"/>
    <w:rsid w:val="00FB614E"/>
    <w:rsid w:val="00FB7FEA"/>
    <w:rsid w:val="00FC0273"/>
    <w:rsid w:val="00FC0CE0"/>
    <w:rsid w:val="00FC1733"/>
    <w:rsid w:val="00FC224F"/>
    <w:rsid w:val="00FC2E64"/>
    <w:rsid w:val="00FC3825"/>
    <w:rsid w:val="00FC743D"/>
    <w:rsid w:val="00FD0A73"/>
    <w:rsid w:val="00FD17AE"/>
    <w:rsid w:val="00FD1ED3"/>
    <w:rsid w:val="00FD2547"/>
    <w:rsid w:val="00FD357C"/>
    <w:rsid w:val="00FD4723"/>
    <w:rsid w:val="00FD50D0"/>
    <w:rsid w:val="00FD596E"/>
    <w:rsid w:val="00FD7252"/>
    <w:rsid w:val="00FE20EA"/>
    <w:rsid w:val="00FE22DF"/>
    <w:rsid w:val="00FE29D5"/>
    <w:rsid w:val="00FE3EBE"/>
    <w:rsid w:val="00FE4E3E"/>
    <w:rsid w:val="00FE5DA1"/>
    <w:rsid w:val="00FE6656"/>
    <w:rsid w:val="00FE687E"/>
    <w:rsid w:val="00FE6EB6"/>
    <w:rsid w:val="00FF127F"/>
    <w:rsid w:val="00FF1385"/>
    <w:rsid w:val="00FF250D"/>
    <w:rsid w:val="00FF5CE0"/>
    <w:rsid w:val="00FF619A"/>
    <w:rsid w:val="00FF7543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DA6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1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31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1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1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1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1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1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1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1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1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1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1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16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168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1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168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1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1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1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1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1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1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16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168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16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1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168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168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633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3753"/>
  </w:style>
  <w:style w:type="paragraph" w:styleId="Rodap">
    <w:name w:val="footer"/>
    <w:basedOn w:val="Normal"/>
    <w:link w:val="RodapCarter"/>
    <w:uiPriority w:val="99"/>
    <w:unhideWhenUsed/>
    <w:rsid w:val="00633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3753"/>
  </w:style>
  <w:style w:type="character" w:styleId="Hiperligao">
    <w:name w:val="Hyperlink"/>
    <w:basedOn w:val="Tipodeletrapredefinidodopargrafo"/>
    <w:uiPriority w:val="99"/>
    <w:unhideWhenUsed/>
    <w:rsid w:val="0063375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3375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F58E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79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901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734594098">
              <w:marLeft w:val="293"/>
              <w:marRight w:val="-244"/>
              <w:marTop w:val="293"/>
              <w:marBottom w:val="2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689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930653377">
              <w:marLeft w:val="293"/>
              <w:marRight w:val="-244"/>
              <w:marTop w:val="293"/>
              <w:marBottom w:val="2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rightmindsb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ightmindsbio.com/wp-content/uploads/2024/12/5-HT2C-biased-agonism-poster-AES_2024-Fina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ec.gov/Archives/edgar/data/1832168/000095017024000033/lbph-ex99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dar-filings-backup.thecse.com/00050752/21020609461586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2025-03-06T18:12:00Z</dcterms:created>
  <dcterms:modified xsi:type="dcterms:W3CDTF">2025-03-27T03:07:00Z</dcterms:modified>
</cp:coreProperties>
</file>