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95" w:rsidRDefault="009C4C95" w:rsidP="000A1E8D">
      <w:pPr>
        <w:pStyle w:val="Title"/>
        <w:outlineLvl w:val="0"/>
      </w:pPr>
      <w:r>
        <w:t>Verdict description</w:t>
      </w:r>
    </w:p>
    <w:tbl>
      <w:tblPr>
        <w:tblStyle w:val="TableGrid"/>
        <w:tblW w:w="13462" w:type="dxa"/>
        <w:jc w:val="center"/>
        <w:tblLayout w:type="fixed"/>
        <w:tblLook w:val="04A0"/>
      </w:tblPr>
      <w:tblGrid>
        <w:gridCol w:w="765"/>
        <w:gridCol w:w="3879"/>
        <w:gridCol w:w="8818"/>
      </w:tblGrid>
      <w:tr w:rsidR="009C4C95" w:rsidRPr="00B71286" w:rsidTr="000A1E8D">
        <w:trPr>
          <w:jc w:val="center"/>
        </w:trPr>
        <w:tc>
          <w:tcPr>
            <w:tcW w:w="765" w:type="dxa"/>
            <w:vAlign w:val="center"/>
          </w:tcPr>
          <w:p w:rsidR="009C4C95" w:rsidRPr="00B71286" w:rsidRDefault="009C4C95" w:rsidP="009C4C95">
            <w:pPr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#</w:t>
            </w:r>
          </w:p>
        </w:tc>
        <w:tc>
          <w:tcPr>
            <w:tcW w:w="3879" w:type="dxa"/>
            <w:vAlign w:val="center"/>
          </w:tcPr>
          <w:p w:rsidR="009C4C95" w:rsidRPr="00B71286" w:rsidRDefault="009C4C95" w:rsidP="009C4C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B71286">
              <w:rPr>
                <w:sz w:val="28"/>
                <w:szCs w:val="28"/>
              </w:rPr>
              <w:t>erdict</w:t>
            </w:r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8818" w:type="dxa"/>
          </w:tcPr>
          <w:p w:rsidR="009C4C95" w:rsidRPr="00B71286" w:rsidRDefault="009C4C95" w:rsidP="009C4C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Verdict </w:t>
            </w:r>
            <w:proofErr w:type="spellStart"/>
            <w:r>
              <w:rPr>
                <w:sz w:val="28"/>
                <w:szCs w:val="28"/>
              </w:rPr>
              <w:t>desctiption</w:t>
            </w:r>
            <w:proofErr w:type="spellEnd"/>
          </w:p>
        </w:tc>
      </w:tr>
      <w:tr w:rsidR="009C4C95" w:rsidRPr="009C4C95" w:rsidTr="000A1E8D">
        <w:trPr>
          <w:trHeight w:val="641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9" w:type="dxa"/>
            <w:vMerge w:val="restart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REPORT_EVENT_P2P_SC_RDL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L</w:t>
            </w: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SC+RDL+</w:t>
            </w:r>
          </w:p>
        </w:tc>
        <w:tc>
          <w:tcPr>
            <w:tcW w:w="8818" w:type="dxa"/>
          </w:tcPr>
          <w:p w:rsidR="009C4C95" w:rsidRPr="009C4C95" w:rsidRDefault="009C4C95" w:rsidP="009C4C95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 xml:space="preserve">Черви этого типа распространяют </w:t>
            </w:r>
            <w:proofErr w:type="gramStart"/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>себя</w:t>
            </w:r>
            <w:proofErr w:type="gramEnd"/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 xml:space="preserve"> используя общие сетевые директории и электронную почту.</w:t>
            </w:r>
          </w:p>
        </w:tc>
      </w:tr>
      <w:tr w:rsidR="009C4C95" w:rsidRPr="009C4C95" w:rsidTr="000A1E8D">
        <w:trPr>
          <w:trHeight w:val="671"/>
          <w:jc w:val="center"/>
        </w:trPr>
        <w:tc>
          <w:tcPr>
            <w:tcW w:w="765" w:type="dxa"/>
            <w:vMerge/>
            <w:vAlign w:val="center"/>
          </w:tcPr>
          <w:p w:rsidR="009C4C95" w:rsidRPr="009C4C95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9C4C95" w:rsidTr="000A1E8D">
        <w:trPr>
          <w:trHeight w:val="293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9" w:type="dxa"/>
            <w:vMerge w:val="restart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//SC+AR+</w:t>
            </w:r>
          </w:p>
        </w:tc>
        <w:tc>
          <w:tcPr>
            <w:tcW w:w="8818" w:type="dxa"/>
          </w:tcPr>
          <w:p w:rsidR="009C4C95" w:rsidRPr="009C4C95" w:rsidRDefault="009C4C95" w:rsidP="009C4C95">
            <w:pPr>
              <w:pStyle w:val="NormalWeb"/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>Эта категория вредоносных объектов включает в себя троянские программы, созданные для разрушения данных и дестабилизации функционирования компьютеров.</w:t>
            </w:r>
          </w:p>
        </w:tc>
      </w:tr>
      <w:tr w:rsidR="009C4C95" w:rsidRPr="009C4C95" w:rsidTr="000A1E8D">
        <w:trPr>
          <w:trHeight w:val="634"/>
          <w:jc w:val="center"/>
        </w:trPr>
        <w:tc>
          <w:tcPr>
            <w:tcW w:w="765" w:type="dxa"/>
            <w:vMerge/>
            <w:vAlign w:val="center"/>
          </w:tcPr>
          <w:p w:rsidR="009C4C95" w:rsidRPr="009C4C95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9C4C95" w:rsidRPr="009506F5" w:rsidTr="000A1E8D">
        <w:trPr>
          <w:jc w:val="center"/>
        </w:trPr>
        <w:tc>
          <w:tcPr>
            <w:tcW w:w="765" w:type="dxa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9" w:type="dxa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REPORT_EVENT_SC_ARsrc</w:t>
            </w:r>
          </w:p>
        </w:tc>
        <w:tc>
          <w:tcPr>
            <w:tcW w:w="8818" w:type="dxa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9C4C95" w:rsidRPr="009C4C95" w:rsidTr="000A1E8D">
        <w:trPr>
          <w:trHeight w:val="36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9" w:type="dxa"/>
            <w:vMerge w:val="restart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REPORT_EVENT_SCN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SCN+;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18" w:type="dxa"/>
          </w:tcPr>
          <w:p w:rsidR="009C4C95" w:rsidRPr="009C4C95" w:rsidRDefault="009C4C95" w:rsidP="009C4C95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 xml:space="preserve">Черви этого типа распространяют </w:t>
            </w:r>
            <w:proofErr w:type="gramStart"/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>себя</w:t>
            </w:r>
            <w:proofErr w:type="gramEnd"/>
            <w:r w:rsidRPr="009C4C95">
              <w:rPr>
                <w:rFonts w:ascii="Arial" w:hAnsi="Arial" w:cs="Arial"/>
                <w:sz w:val="18"/>
                <w:szCs w:val="18"/>
                <w:lang w:val="ru-RU"/>
              </w:rPr>
              <w:t xml:space="preserve"> используя общие сетевые директории и электронную почту.</w:t>
            </w:r>
          </w:p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9C4C95" w:rsidTr="000A1E8D">
        <w:trPr>
          <w:trHeight w:val="730"/>
          <w:jc w:val="center"/>
        </w:trPr>
        <w:tc>
          <w:tcPr>
            <w:tcW w:w="765" w:type="dxa"/>
            <w:vMerge/>
            <w:vAlign w:val="center"/>
          </w:tcPr>
          <w:p w:rsidR="009C4C95" w:rsidRPr="009C4C95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C03FDF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9" w:type="dxa"/>
            <w:vMerge w:val="restart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REPORT_EVENT_P2P_SCN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SCN+(P2P);</w:t>
            </w:r>
          </w:p>
        </w:tc>
        <w:tc>
          <w:tcPr>
            <w:tcW w:w="8818" w:type="dxa"/>
          </w:tcPr>
          <w:p w:rsidR="009C4C95" w:rsidRPr="00C03FDF" w:rsidRDefault="008436CD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№1</w:t>
            </w:r>
          </w:p>
        </w:tc>
      </w:tr>
      <w:tr w:rsidR="009C4C95" w:rsidRPr="00C03FDF" w:rsidTr="000A1E8D">
        <w:trPr>
          <w:trHeight w:val="337"/>
          <w:jc w:val="center"/>
        </w:trPr>
        <w:tc>
          <w:tcPr>
            <w:tcW w:w="765" w:type="dxa"/>
            <w:vMerge/>
            <w:vAlign w:val="center"/>
          </w:tcPr>
          <w:p w:rsidR="009C4C95" w:rsidRPr="00C03FDF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C03FDF" w:rsidTr="000A1E8D">
        <w:trPr>
          <w:trHeight w:val="45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9" w:type="dxa"/>
            <w:vMerge w:val="restart"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REPORT_EVENT_SC2STARTUP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SC2STARTUP+;</w:t>
            </w:r>
          </w:p>
        </w:tc>
        <w:tc>
          <w:tcPr>
            <w:tcW w:w="8818" w:type="dxa"/>
          </w:tcPr>
          <w:p w:rsidR="009C4C95" w:rsidRPr="00C03FDF" w:rsidRDefault="008436CD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№2</w:t>
            </w:r>
          </w:p>
        </w:tc>
      </w:tr>
      <w:tr w:rsidR="009C4C95" w:rsidRPr="00C03FDF" w:rsidTr="000A1E8D">
        <w:trPr>
          <w:trHeight w:val="450"/>
          <w:jc w:val="center"/>
        </w:trPr>
        <w:tc>
          <w:tcPr>
            <w:tcW w:w="765" w:type="dxa"/>
            <w:vMerge/>
            <w:vAlign w:val="center"/>
          </w:tcPr>
          <w:p w:rsidR="009C4C95" w:rsidRPr="00C03FDF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C03FDF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REPORT_EVENT_SC_MULTIPLE</w:t>
            </w:r>
          </w:p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SC+(MULTIPLE);</w:t>
            </w:r>
          </w:p>
        </w:tc>
        <w:tc>
          <w:tcPr>
            <w:tcW w:w="8818" w:type="dxa"/>
          </w:tcPr>
          <w:p w:rsidR="009C4C95" w:rsidRPr="00C03FDF" w:rsidRDefault="008436CD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№1</w:t>
            </w:r>
          </w:p>
        </w:tc>
      </w:tr>
      <w:tr w:rsidR="009C4C95" w:rsidRPr="00C03FDF" w:rsidTr="000A1E8D">
        <w:trPr>
          <w:trHeight w:val="337"/>
          <w:jc w:val="center"/>
        </w:trPr>
        <w:tc>
          <w:tcPr>
            <w:tcW w:w="765" w:type="dxa"/>
            <w:vMerge/>
            <w:vAlign w:val="center"/>
          </w:tcPr>
          <w:p w:rsidR="009C4C95" w:rsidRPr="00C03FDF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C03FD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C03FDF" w:rsidRPr="00C03FDF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C03FDF" w:rsidRDefault="00C03FD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9" w:type="dxa"/>
            <w:vMerge w:val="restart"/>
            <w:vAlign w:val="center"/>
          </w:tcPr>
          <w:p w:rsid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REPORT_EVENT_RDR</w:t>
            </w:r>
          </w:p>
          <w:p w:rsid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"RootShell"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C03FDF" w:rsidRPr="009506F5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RDR+;</w:t>
            </w:r>
          </w:p>
        </w:tc>
        <w:tc>
          <w:tcPr>
            <w:tcW w:w="8818" w:type="dxa"/>
          </w:tcPr>
          <w:p w:rsidR="00C03FDF" w:rsidRPr="00C03FDF" w:rsidRDefault="00C03FDF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shell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предоставляет взломщику консольный доступ к атакуемой системе. </w:t>
            </w:r>
            <w:r>
              <w:rPr>
                <w:rFonts w:ascii="Arial" w:hAnsi="Arial" w:cs="Arial"/>
                <w:sz w:val="18"/>
                <w:szCs w:val="18"/>
              </w:rPr>
              <w:t>Root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shell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перенаправляет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стандартные потоки ввода/вывода на специально созданный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сокет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н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аатакуемой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машине. Таким образом, удалённый взломщик имеет возможность исполнять команды консольного интерпретатора удалённо</w:t>
            </w:r>
          </w:p>
        </w:tc>
      </w:tr>
      <w:tr w:rsidR="00C03FDF" w:rsidRPr="00C03FDF" w:rsidTr="000A1E8D">
        <w:trPr>
          <w:trHeight w:val="337"/>
          <w:jc w:val="center"/>
        </w:trPr>
        <w:tc>
          <w:tcPr>
            <w:tcW w:w="765" w:type="dxa"/>
            <w:vMerge/>
            <w:vAlign w:val="center"/>
          </w:tcPr>
          <w:p w:rsidR="00C03FDF" w:rsidRPr="00C03FDF" w:rsidRDefault="00C03FD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C03FDF" w:rsidRPr="00C03FDF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C03FDF" w:rsidRDefault="00C03FD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9" w:type="dxa"/>
            <w:vMerge w:val="restart"/>
            <w:vAlign w:val="center"/>
          </w:tcPr>
          <w:p w:rsid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REPORT_EVENT_REGMODIFY</w:t>
            </w:r>
          </w:p>
          <w:p w:rsidR="00C03FDF" w:rsidRPr="00924465" w:rsidRDefault="00C03FDF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lastRenderedPageBreak/>
              <w:t>"Registry access"</w:t>
            </w:r>
          </w:p>
        </w:tc>
        <w:tc>
          <w:tcPr>
            <w:tcW w:w="8818" w:type="dxa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 xml:space="preserve">Процесс пытается получить доступ к одному из контролируемых (критических) разделов системного 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 xml:space="preserve">реестра </w:t>
            </w:r>
            <w:r>
              <w:rPr>
                <w:rFonts w:ascii="Arial" w:hAnsi="Arial" w:cs="Arial"/>
                <w:sz w:val="18"/>
                <w:szCs w:val="18"/>
              </w:rPr>
              <w:t>Windows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. Системный реестр </w:t>
            </w:r>
            <w:r>
              <w:rPr>
                <w:rFonts w:ascii="Arial" w:hAnsi="Arial" w:cs="Arial"/>
                <w:sz w:val="18"/>
                <w:szCs w:val="18"/>
              </w:rPr>
              <w:t>Windows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— это база данных, в которой хранится информация о настройках системы, установленных приложениях и многое другое. Вредоносные программы модифицируют реестр с целью регистрации себя для автоматического запуска при старте операционной системы, подмены стартовой страницы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Explorer</w:t>
            </w: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и других деструктивных действий. Однако доступ к системному реестру может осуществляться и обычными приложениями.</w:t>
            </w:r>
          </w:p>
        </w:tc>
      </w:tr>
      <w:tr w:rsidR="00C03FDF" w:rsidRPr="00C03FDF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C03FDF" w:rsidRPr="00C03FDF" w:rsidRDefault="00C03FD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C03FDF" w:rsidRPr="00C03FDF" w:rsidTr="000A1E8D">
        <w:trPr>
          <w:trHeight w:val="360"/>
          <w:jc w:val="center"/>
        </w:trPr>
        <w:tc>
          <w:tcPr>
            <w:tcW w:w="765" w:type="dxa"/>
            <w:vMerge w:val="restart"/>
            <w:vAlign w:val="center"/>
          </w:tcPr>
          <w:p w:rsidR="00C03FDF" w:rsidRDefault="00C03FD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9" w:type="dxa"/>
            <w:vMerge w:val="restart"/>
            <w:vAlign w:val="center"/>
          </w:tcPr>
          <w:p w:rsid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REPORT_EVENT_HIDDEN_OBJ</w:t>
            </w:r>
          </w:p>
          <w:p w:rsidR="00C03FDF" w:rsidRPr="009506F5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object"</w:t>
            </w:r>
          </w:p>
        </w:tc>
        <w:tc>
          <w:tcPr>
            <w:tcW w:w="8818" w:type="dxa"/>
          </w:tcPr>
          <w:p w:rsidR="00C03FDF" w:rsidRPr="00C03FDF" w:rsidRDefault="00C03FDF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Руткит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прячет заданный процесс и файлы от других программ.</w:t>
            </w:r>
          </w:p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C03FDF" w:rsidRPr="00C03FDF" w:rsidTr="000A1E8D">
        <w:trPr>
          <w:trHeight w:val="360"/>
          <w:jc w:val="center"/>
        </w:trPr>
        <w:tc>
          <w:tcPr>
            <w:tcW w:w="765" w:type="dxa"/>
            <w:vMerge/>
            <w:vAlign w:val="center"/>
          </w:tcPr>
          <w:p w:rsidR="00C03FDF" w:rsidRDefault="00C03FDF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C03FDF" w:rsidRPr="009506F5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8818" w:type="dxa"/>
          </w:tcPr>
          <w:p w:rsidR="00C03FDF" w:rsidRPr="00C03FDF" w:rsidRDefault="00C03FDF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9C4C95" w:rsidRPr="00C03FDF" w:rsidTr="000A1E8D">
        <w:trPr>
          <w:trHeight w:val="57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"Invader"</w:t>
            </w:r>
          </w:p>
        </w:tc>
        <w:tc>
          <w:tcPr>
            <w:tcW w:w="8818" w:type="dxa"/>
          </w:tcPr>
          <w:p w:rsidR="009C4C95" w:rsidRPr="00C03FDF" w:rsidRDefault="00C03FDF" w:rsidP="00C03FD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Эта категория вредоносных объектов встраивает свой код в адресное пространство других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програм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, таким образом, получая доступ к ресурсам, доступным этим программам. Существует четыре разновидности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програм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этого класса, каждая из которых распознаётся модулем </w:t>
            </w:r>
            <w:proofErr w:type="spellStart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C03FDF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Защита.</w:t>
            </w:r>
          </w:p>
        </w:tc>
      </w:tr>
      <w:tr w:rsidR="00C03FDF" w:rsidRPr="00C03FDF" w:rsidTr="000A1E8D">
        <w:trPr>
          <w:trHeight w:val="970"/>
          <w:jc w:val="center"/>
        </w:trPr>
        <w:tc>
          <w:tcPr>
            <w:tcW w:w="765" w:type="dxa"/>
            <w:vMerge/>
            <w:vAlign w:val="center"/>
          </w:tcPr>
          <w:p w:rsidR="00C03FDF" w:rsidRPr="00C03FDF" w:rsidRDefault="00C03FD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C03FDF" w:rsidRPr="00C03FDF" w:rsidRDefault="00C03FD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ED2060" w:rsidRDefault="00ED2060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9" w:type="dxa"/>
            <w:vMerge w:val="restart"/>
            <w:vAlign w:val="center"/>
          </w:tcPr>
          <w:p w:rsid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</w:t>
            </w:r>
          </w:p>
          <w:p w:rsidR="00ED2060" w:rsidRPr="009506F5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"Critical application"</w:t>
            </w:r>
          </w:p>
        </w:tc>
        <w:tc>
          <w:tcPr>
            <w:tcW w:w="8818" w:type="dxa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Модуль «Контроль целостности приложений» компонента «</w:t>
            </w:r>
            <w:proofErr w:type="spell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 обладает дополнительной возможностью — контролем запуска приложений. По умолчанию этот режим отключен. В этом режиме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Anti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Virus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Security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 показывает предупреждение всякий раз, когда запускается указанное пользователем приложение. Предупреждение появляется только в том случае, если для контролируемого приложения настроено правило «Запуск: Запросить действие».</w:t>
            </w: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ED2060" w:rsidRPr="00ED2060" w:rsidRDefault="00ED2060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ED2060" w:rsidRDefault="00ED2060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9" w:type="dxa"/>
            <w:vMerge w:val="restart"/>
            <w:vAlign w:val="center"/>
          </w:tcPr>
          <w:p w:rsid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REPORT_EVENT_APPG_CHANGED</w:t>
            </w:r>
          </w:p>
          <w:p w:rsidR="00ED2060" w:rsidRPr="009506F5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"Application changed"</w:t>
            </w:r>
          </w:p>
        </w:tc>
        <w:tc>
          <w:tcPr>
            <w:tcW w:w="8818" w:type="dxa"/>
          </w:tcPr>
          <w:p w:rsidR="00ED2060" w:rsidRPr="00ED2060" w:rsidRDefault="00ED2060" w:rsidP="00ED2060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Существуют разновидности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вредоносного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ПО, которые внедряются в исполняемые файлы, библиотеки или модули расширения известных программ. Таким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образом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можно, например, организовать утечку данных с компьютера пользователя. Сетевой трафик, инициированный вредоносным кодом, будет свободно пропускаться сетевыми экранами, поскольку, с точки зрения сетевого экрана, этот трафик принадлежит приложению, которому разрешен доступ в интернет.</w:t>
            </w:r>
          </w:p>
          <w:p w:rsidR="00ED2060" w:rsidRPr="00ED2060" w:rsidRDefault="00ED2060" w:rsidP="00ED2060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Для того чтобы противодействовать модификации известных приложений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вредоносным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ПО применяется модуль «Контроль целостности приложений» компонента «</w:t>
            </w:r>
            <w:proofErr w:type="spell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защита». Список приложений, контролируемых этим компонентом, автоматически формируется мастером настройки во время установки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Anti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Virus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Security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6.0.</w:t>
            </w:r>
          </w:p>
          <w:p w:rsidR="00ED2060" w:rsidRPr="00ED2060" w:rsidRDefault="00ED2060" w:rsidP="00ED2060">
            <w:pPr>
              <w:pStyle w:val="NormalWeb"/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Событие «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changed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» означает, что исполняемый файл контролируемого приложения изменился с момента предыдущего запуска. Однако изменение исполняемого файла могло произойти как в результате внедрения в приложение вредоносного кода, так и в результате обычного обновления программы. Например, исполняемый файл браузера </w:t>
            </w:r>
            <w:r>
              <w:rPr>
                <w:rFonts w:ascii="Arial" w:hAnsi="Arial" w:cs="Arial"/>
                <w:sz w:val="18"/>
                <w:szCs w:val="18"/>
              </w:rPr>
              <w:t>Microsoft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Explorer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может измениться в результате обновления </w:t>
            </w:r>
            <w:r>
              <w:rPr>
                <w:rFonts w:ascii="Arial" w:hAnsi="Arial" w:cs="Arial"/>
                <w:sz w:val="18"/>
                <w:szCs w:val="18"/>
              </w:rPr>
              <w:t>Windows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ED2060" w:rsidRPr="00ED2060" w:rsidRDefault="00ED2060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ED2060" w:rsidRDefault="00ED2060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9" w:type="dxa"/>
            <w:vMerge w:val="restart"/>
            <w:vAlign w:val="center"/>
          </w:tcPr>
          <w:p w:rsid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REPORT_EVENT_IMG_CHANGED</w:t>
            </w:r>
          </w:p>
          <w:p w:rsidR="00ED2060" w:rsidRPr="009506F5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"Integrity violation"</w:t>
            </w:r>
          </w:p>
        </w:tc>
        <w:tc>
          <w:tcPr>
            <w:tcW w:w="8818" w:type="dxa"/>
          </w:tcPr>
          <w:p w:rsidR="00ED2060" w:rsidRPr="00ED2060" w:rsidRDefault="00ED2060" w:rsidP="00ED2060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Существуют разновидности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вредоносного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ПО, которые внедряются в исполняемые файлы, библиотеки или модули расширения известных программ. Таким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образом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можно, например, организовать утечку данных с компьютера пользователя. Сетевой трафик, инициированный вредоносным кодом, будет свободно пропускаться сетевыми экранами, поскольку, с точки зрения сетевого экрана, этот трафик принадлежит приложению, которому разрешен доступ в интернет.</w:t>
            </w:r>
          </w:p>
          <w:p w:rsidR="00ED2060" w:rsidRPr="00ED2060" w:rsidRDefault="00ED2060" w:rsidP="00ED2060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Для того чтобы противодействовать модификации известных приложений </w:t>
            </w:r>
            <w:proofErr w:type="gram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вредоносным</w:t>
            </w:r>
            <w:proofErr w:type="gram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ПО применяется модуль «Контроль целостности приложений» компонента «</w:t>
            </w:r>
            <w:proofErr w:type="spellStart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защита». Список приложений, контролируемых этим компонентом, автоматически формируется мастером настройки во время установки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Anti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Virus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Security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6.0.</w:t>
            </w:r>
          </w:p>
          <w:p w:rsidR="00ED2060" w:rsidRPr="00ED2060" w:rsidRDefault="00ED2060" w:rsidP="00F31B2F">
            <w:pPr>
              <w:pStyle w:val="NormalWeb"/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Событие «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Intergity</w:t>
            </w:r>
            <w:proofErr w:type="spellEnd"/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Violation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» означает, что с момента предыдущего запуска изменился один или несколько модулей контролируемого приложения. Однако изменение исполняемого файла могло произойти как в результате внедрения в приложение вредоносного кода, так и в результате обычного обновления программы. Например, библиотеки, используемые браузером </w:t>
            </w:r>
            <w:r>
              <w:rPr>
                <w:rFonts w:ascii="Arial" w:hAnsi="Arial" w:cs="Arial"/>
                <w:sz w:val="18"/>
                <w:szCs w:val="18"/>
              </w:rPr>
              <w:t>Microsoft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Explorer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 xml:space="preserve">, могут меняться в результате обновления </w:t>
            </w:r>
            <w:r>
              <w:rPr>
                <w:rFonts w:ascii="Arial" w:hAnsi="Arial" w:cs="Arial"/>
                <w:sz w:val="18"/>
                <w:szCs w:val="18"/>
              </w:rPr>
              <w:t>Windows</w:t>
            </w:r>
            <w:r w:rsidRPr="00ED2060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</w:p>
        </w:tc>
      </w:tr>
      <w:tr w:rsidR="00ED2060" w:rsidRPr="00ED2060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ED2060" w:rsidRPr="00ED2060" w:rsidRDefault="00ED2060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ED2060" w:rsidRPr="00ED2060" w:rsidRDefault="00ED2060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F31B2F" w:rsidRDefault="00F31B2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9" w:type="dxa"/>
            <w:vMerge w:val="restart"/>
            <w:vAlign w:val="center"/>
          </w:tcPr>
          <w:p w:rsid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REPORT_EVENT_APPG_ASCHILD</w:t>
            </w:r>
          </w:p>
          <w:p w:rsidR="00F31B2F" w:rsidRPr="009506F5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"Running as child"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Некоторые вредоносные программы используют обычные программы для организации утечки данных или загрузки вредоносного кода из интернета. Для этого обычная программа, которой правилами сетевого экрана и других средств защиты разрешен доступ в интернет (например, 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веб-браузер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), запускается вредоносной программой как дочерний процесс.</w:t>
            </w:r>
          </w:p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Для того чтобы противодействовать запуску </w:t>
            </w:r>
            <w:proofErr w:type="gram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вредоносным</w:t>
            </w:r>
            <w:proofErr w:type="gram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ПО известных приложений в качестве дочерних процессов применяется модуль «Контроль целостности приложений» компонента «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защита». Список приложений, контролируемых этим компонентом, автоматически формируется мастером настройки во время установки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Anti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Virus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6.0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Security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6.0.</w:t>
            </w:r>
          </w:p>
          <w:p w:rsidR="00F31B2F" w:rsidRPr="00F31B2F" w:rsidRDefault="00F31B2F" w:rsidP="00F31B2F">
            <w:pPr>
              <w:pStyle w:val="NormalWeb"/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Событие «</w:t>
            </w:r>
            <w:r>
              <w:rPr>
                <w:rFonts w:ascii="Arial" w:hAnsi="Arial" w:cs="Arial"/>
                <w:sz w:val="18"/>
                <w:szCs w:val="18"/>
              </w:rPr>
              <w:t>Running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child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» означает, что контролируемое приложение запущено другим процессом как дочерний процесс. Предупреждение появляется только в том случае, если для контролируемого приложения настроено правило «Запуск дочернего процесса: Запросить действие». Поскольку запуск одних программ другими в качестве дочерних процессов является достаточно распространенным явлением, по умолчанию показ предупреждений о таких событиях отключен, однако эти события протоколируются в отчетах 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проактивной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защиты.</w:t>
            </w: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F31B2F" w:rsidRDefault="00F31B2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9" w:type="dxa"/>
            <w:vMerge w:val="restart"/>
            <w:vAlign w:val="center"/>
          </w:tcPr>
          <w:p w:rsid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REPORT_EVENT_APPG_BROWSER</w:t>
            </w:r>
          </w:p>
          <w:p w:rsidR="00F31B2F" w:rsidRPr="00924465" w:rsidRDefault="00F31B2F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"Starting Internet Browser"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Launcher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получает доступ к ресурсам, расположенным в интернете используя браузер, установленный по умолчанию в системе. </w:t>
            </w:r>
            <w:r>
              <w:rPr>
                <w:rFonts w:ascii="Arial" w:hAnsi="Arial" w:cs="Arial"/>
                <w:sz w:val="18"/>
                <w:szCs w:val="18"/>
              </w:rPr>
              <w:t>Launcher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запускает браузер с параметрами, содержащими, к примеру, пользовательские пароли. Существует несколько методов передачи браузеру параметров, включая параметры командной строки, </w:t>
            </w:r>
            <w:r>
              <w:rPr>
                <w:rFonts w:ascii="Arial" w:hAnsi="Arial" w:cs="Arial"/>
                <w:sz w:val="18"/>
                <w:szCs w:val="18"/>
              </w:rPr>
              <w:t>DDE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и т.п.</w:t>
            </w: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F31B2F" w:rsidTr="000A1E8D">
        <w:trPr>
          <w:trHeight w:val="45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REPORT_EVENT_INVADER_LOADER</w:t>
            </w:r>
          </w:p>
          <w:p w:rsidR="009C4C95" w:rsidRPr="006403D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 (loader)"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Су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ществует множество разновидностей </w:t>
            </w:r>
            <w:proofErr w:type="gram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вредоносного</w:t>
            </w:r>
            <w:proofErr w:type="gram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ПО, которые внедряются в исполняемые файлы, библиотеки или модули расширения известных программ. Таким </w:t>
            </w:r>
            <w:proofErr w:type="gram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образом</w:t>
            </w:r>
            <w:proofErr w:type="gram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можно, например, организовать утечку данных с компьютера пользователя. Сетевой трафик, инициированный вредоносным кодом, будет свободно пропускаться сетевыми экранами, поскольку, с точки зрения сетевого экрана, этот трафик принадлежит приложению, которому разрешен доступ в Интернет.</w:t>
            </w:r>
          </w:p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Для обнаружения и блокировки попыток внедрения вредоносного кода в процессы в памяти применяется модуль «Анализ активности приложений» компонента «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защита».</w:t>
            </w:r>
          </w:p>
          <w:p w:rsidR="009C4C95" w:rsidRPr="00F31B2F" w:rsidRDefault="00F31B2F" w:rsidP="00F31B2F">
            <w:pPr>
              <w:pStyle w:val="NormalWeb"/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Внедрение в другие процессы широко используется троянскими программами. Однако такая активность характерна также для некоторых безобидных программ, пакетов обновлений и программ установки. Следует разрешать этот вид активности только в том случае, если вы уверены, что внедряемая программа безобидна.</w:t>
            </w:r>
          </w:p>
        </w:tc>
      </w:tr>
      <w:tr w:rsidR="00F31B2F" w:rsidRPr="00F31B2F" w:rsidTr="000A1E8D">
        <w:trPr>
          <w:trHeight w:val="399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F31B2F" w:rsidRDefault="00F31B2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9" w:type="dxa"/>
            <w:vMerge w:val="restart"/>
            <w:vAlign w:val="center"/>
          </w:tcPr>
          <w:p w:rsid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REPORT_EVENT_STRANGEKEY</w:t>
            </w:r>
          </w:p>
          <w:p w:rsidR="00F31B2F" w:rsidRPr="009506F5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registry value"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Создатели </w:t>
            </w:r>
            <w:proofErr w:type="gram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вредоносных</w:t>
            </w:r>
            <w:proofErr w:type="gram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програм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часто создают ключи системного реестра, которые не могут быть просмотрены стандартными редакторами реестра. Так называемые «скрытые ключи» позволяют создателям вирусов хранить данные в системном реестре, доступные исключительно им самим.</w:t>
            </w: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F31B2F" w:rsidTr="000A1E8D">
        <w:trPr>
          <w:trHeight w:val="293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REPORT_EVENT_SYSCHANGE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"Strange behaviour"</w:t>
            </w:r>
          </w:p>
        </w:tc>
        <w:tc>
          <w:tcPr>
            <w:tcW w:w="8818" w:type="dxa"/>
          </w:tcPr>
          <w:p w:rsid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Прямой доступ к памяти.</w:t>
            </w:r>
          </w:p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Модификация точки входа R0-R3.</w:t>
            </w:r>
          </w:p>
        </w:tc>
      </w:tr>
      <w:tr w:rsidR="009C4C95" w:rsidRPr="00F31B2F" w:rsidTr="000A1E8D">
        <w:trPr>
          <w:trHeight w:val="293"/>
          <w:jc w:val="center"/>
        </w:trPr>
        <w:tc>
          <w:tcPr>
            <w:tcW w:w="765" w:type="dxa"/>
            <w:vMerge/>
            <w:vAlign w:val="center"/>
          </w:tcPr>
          <w:p w:rsidR="009C4C95" w:rsidRPr="00F31B2F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F31B2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F31B2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F31B2F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REPORT_EVENT_HIDDEN_INSTALL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install"</w:t>
            </w:r>
          </w:p>
        </w:tc>
        <w:tc>
          <w:tcPr>
            <w:tcW w:w="8818" w:type="dxa"/>
          </w:tcPr>
          <w:p w:rsidR="009C4C95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Некоторые программы выполняют установку собственных компонент в системе без пользовательского согласия. Такое поведение характерно для вредоносных программ класса </w:t>
            </w:r>
            <w:r>
              <w:rPr>
                <w:rFonts w:ascii="Arial" w:hAnsi="Arial" w:cs="Arial"/>
                <w:sz w:val="18"/>
                <w:szCs w:val="18"/>
              </w:rPr>
              <w:t>Trojan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Downloaders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Droppers</w:t>
            </w:r>
          </w:p>
        </w:tc>
      </w:tr>
      <w:tr w:rsidR="00F31B2F" w:rsidRPr="00F31B2F" w:rsidTr="000A1E8D">
        <w:trPr>
          <w:trHeight w:val="752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F31B2F" w:rsidRPr="00F31B2F" w:rsidTr="000A1E8D">
        <w:trPr>
          <w:trHeight w:val="458"/>
          <w:jc w:val="center"/>
        </w:trPr>
        <w:tc>
          <w:tcPr>
            <w:tcW w:w="765" w:type="dxa"/>
            <w:vMerge w:val="restart"/>
            <w:vAlign w:val="center"/>
          </w:tcPr>
          <w:p w:rsidR="00F31B2F" w:rsidRDefault="00F31B2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9" w:type="dxa"/>
            <w:vMerge w:val="restart"/>
            <w:vAlign w:val="center"/>
          </w:tcPr>
          <w:p w:rsid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REPORT_EVENT_BUFFEROVERRUN</w:t>
            </w:r>
          </w:p>
          <w:p w:rsidR="00F31B2F" w:rsidRPr="009506F5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"Buffer overrun"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Технология переполнения буфера используется злоумышленниками для получения доступа к системе под системной учётной записью.</w:t>
            </w:r>
          </w:p>
        </w:tc>
      </w:tr>
      <w:tr w:rsidR="00F31B2F" w:rsidRPr="00F31B2F" w:rsidTr="000A1E8D">
        <w:trPr>
          <w:trHeight w:val="457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F31B2F" w:rsidRDefault="00F31B2F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9" w:type="dxa"/>
            <w:vMerge w:val="restart"/>
            <w:vAlign w:val="center"/>
          </w:tcPr>
          <w:p w:rsid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REPORT_EVENT_DEP</w:t>
            </w:r>
          </w:p>
          <w:p w:rsidR="00F31B2F" w:rsidRPr="009506F5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"Data Execution"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Вредоносные программы прячут свой код от анализаторов активности, помещая его в области памяти предназначенной для данных, а не для исполняемого кода.</w:t>
            </w:r>
          </w:p>
        </w:tc>
      </w:tr>
      <w:tr w:rsidR="00F31B2F" w:rsidRPr="00F31B2F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F31B2F" w:rsidRPr="00F31B2F" w:rsidRDefault="00F31B2F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31B2F" w:rsidRPr="00F31B2F" w:rsidRDefault="00F31B2F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F31B2F" w:rsidTr="000A1E8D">
        <w:trPr>
          <w:trHeight w:val="57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REPORT_EVENT_HOSTS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"Hosts file modification"</w:t>
            </w:r>
          </w:p>
        </w:tc>
        <w:tc>
          <w:tcPr>
            <w:tcW w:w="8818" w:type="dxa"/>
          </w:tcPr>
          <w:p w:rsidR="00F31B2F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Файл </w:t>
            </w:r>
            <w:r>
              <w:rPr>
                <w:rFonts w:ascii="Arial" w:hAnsi="Arial" w:cs="Arial"/>
                <w:sz w:val="18"/>
                <w:szCs w:val="18"/>
              </w:rPr>
              <w:t>hosts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— это один из важных системных файлов операционной системы </w:t>
            </w:r>
            <w:r>
              <w:rPr>
                <w:rFonts w:ascii="Arial" w:hAnsi="Arial" w:cs="Arial"/>
                <w:sz w:val="18"/>
                <w:szCs w:val="18"/>
              </w:rPr>
              <w:t>Windows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. Он предназначен для ускорения доступа к 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интернет-ресурсам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 счет преобразования </w:t>
            </w:r>
            <w:r>
              <w:rPr>
                <w:rFonts w:ascii="Arial" w:hAnsi="Arial" w:cs="Arial"/>
                <w:sz w:val="18"/>
                <w:szCs w:val="18"/>
              </w:rPr>
              <w:t>URL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в </w:t>
            </w:r>
            <w:r>
              <w:rPr>
                <w:rFonts w:ascii="Arial" w:hAnsi="Arial" w:cs="Arial"/>
                <w:sz w:val="18"/>
                <w:szCs w:val="18"/>
              </w:rPr>
              <w:t>IP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-адреса не на </w:t>
            </w:r>
            <w:r>
              <w:rPr>
                <w:rFonts w:ascii="Arial" w:hAnsi="Arial" w:cs="Arial"/>
                <w:sz w:val="18"/>
                <w:szCs w:val="18"/>
              </w:rPr>
              <w:t>DNS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-серверах, а непосредственно на локальном компьютере. Это обычный текстовый файл, каждая строка которого определяет соответствие символьного имени (</w:t>
            </w:r>
            <w:r>
              <w:rPr>
                <w:rFonts w:ascii="Arial" w:hAnsi="Arial" w:cs="Arial"/>
                <w:sz w:val="18"/>
                <w:szCs w:val="18"/>
              </w:rPr>
              <w:t>URL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) сервера и его </w:t>
            </w:r>
            <w:r>
              <w:rPr>
                <w:rFonts w:ascii="Arial" w:hAnsi="Arial" w:cs="Arial"/>
                <w:sz w:val="18"/>
                <w:szCs w:val="18"/>
              </w:rPr>
              <w:t>IP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-адреса.</w:t>
            </w:r>
          </w:p>
          <w:p w:rsidR="009C4C95" w:rsidRPr="00F31B2F" w:rsidRDefault="00F31B2F" w:rsidP="00F31B2F">
            <w:pPr>
              <w:pStyle w:val="NormalWeb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Вредоносные программы часто используют файл </w:t>
            </w:r>
            <w:r>
              <w:rPr>
                <w:rFonts w:ascii="Arial" w:hAnsi="Arial" w:cs="Arial"/>
                <w:sz w:val="18"/>
                <w:szCs w:val="18"/>
              </w:rPr>
              <w:t>hosts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для переопределения адресов серверов обновлений антивирусного ПО, чтобы заблокировать возможность обновления и предотвратить обнаружение вредоносной программы сигнатурным методом, а также для других целей. Для того чтобы противодействовать попыткам модификации файла </w:t>
            </w:r>
            <w:r>
              <w:rPr>
                <w:rFonts w:ascii="Arial" w:hAnsi="Arial" w:cs="Arial"/>
                <w:sz w:val="18"/>
                <w:szCs w:val="18"/>
              </w:rPr>
              <w:t>hosts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вредоносным </w:t>
            </w:r>
            <w:proofErr w:type="gram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ПО применяется</w:t>
            </w:r>
            <w:proofErr w:type="gram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модуль «Анализ активности приложений» компонента «</w:t>
            </w:r>
            <w:proofErr w:type="spellStart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Проактивная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защита»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Anti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Virus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6.0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Internet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Security</w:t>
            </w:r>
            <w:r w:rsidRPr="00F31B2F">
              <w:rPr>
                <w:rFonts w:ascii="Arial" w:hAnsi="Arial" w:cs="Arial"/>
                <w:sz w:val="18"/>
                <w:szCs w:val="18"/>
                <w:lang w:val="ru-RU"/>
              </w:rPr>
              <w:t xml:space="preserve"> 6.0.</w:t>
            </w:r>
          </w:p>
        </w:tc>
      </w:tr>
      <w:tr w:rsidR="009C4C95" w:rsidRPr="00F31B2F" w:rsidTr="000A1E8D">
        <w:trPr>
          <w:trHeight w:val="570"/>
          <w:jc w:val="center"/>
        </w:trPr>
        <w:tc>
          <w:tcPr>
            <w:tcW w:w="765" w:type="dxa"/>
            <w:vMerge/>
            <w:vAlign w:val="center"/>
          </w:tcPr>
          <w:p w:rsidR="009C4C95" w:rsidRPr="00F31B2F" w:rsidRDefault="009C4C95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F31B2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9C4C95" w:rsidRPr="00F31B2F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9C4C95" w:rsidRPr="009506F5" w:rsidTr="000A1E8D">
        <w:trPr>
          <w:trHeight w:val="360"/>
          <w:jc w:val="center"/>
        </w:trPr>
        <w:tc>
          <w:tcPr>
            <w:tcW w:w="765" w:type="dxa"/>
            <w:vMerge w:val="restart"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3879" w:type="dxa"/>
            <w:vMerge w:val="restart"/>
            <w:vAlign w:val="center"/>
          </w:tcPr>
          <w:p w:rsidR="009C4C9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REPORT_EVENT_KEYLOGGER</w:t>
            </w:r>
          </w:p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"Keylogger"</w:t>
            </w:r>
          </w:p>
        </w:tc>
        <w:tc>
          <w:tcPr>
            <w:tcW w:w="8818" w:type="dxa"/>
          </w:tcPr>
          <w:p w:rsidR="009C4C95" w:rsidRPr="009506F5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Клавиатурный перехватчик. Программа, встраивающаяся в драйвер клавиатуры и перехватывающая нажатия клавиш. Вредоносная программа такого типа может отсылать информацию, набираемую с клавиатуры (логины, пароли, номера кредитных карт) злоумышленнику. Однако перехват нажатий клавиш может использоваться и обычными программами. Часто перехват нажатий клавиш применяется для вызова функций программы из другого приложения с помощью </w:t>
            </w:r>
            <w:r>
              <w:rPr>
                <w:rFonts w:ascii="Arial" w:hAnsi="Arial" w:cs="Arial"/>
                <w:sz w:val="18"/>
                <w:szCs w:val="18"/>
              </w:rPr>
              <w:t>«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горячих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клавиш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» (hotkeys).</w:t>
            </w:r>
          </w:p>
        </w:tc>
      </w:tr>
      <w:tr w:rsidR="009C4C95" w:rsidRPr="009506F5" w:rsidTr="000A1E8D">
        <w:trPr>
          <w:trHeight w:val="360"/>
          <w:jc w:val="center"/>
        </w:trPr>
        <w:tc>
          <w:tcPr>
            <w:tcW w:w="765" w:type="dxa"/>
            <w:vMerge/>
            <w:vAlign w:val="center"/>
          </w:tcPr>
          <w:p w:rsidR="009C4C95" w:rsidRDefault="009C4C95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8818" w:type="dxa"/>
          </w:tcPr>
          <w:p w:rsidR="009C4C95" w:rsidRPr="009506F5" w:rsidRDefault="009C4C95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167B63" w:rsidRPr="00167B63" w:rsidTr="000A1E8D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167B63" w:rsidRDefault="00167B63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9" w:type="dxa"/>
            <w:vMerge w:val="restart"/>
            <w:vAlign w:val="center"/>
          </w:tcPr>
          <w:p w:rsidR="00167B63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REPORT_EVENT_DOWNLOADER</w:t>
            </w:r>
          </w:p>
          <w:p w:rsidR="00167B63" w:rsidRPr="009506F5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 Downloader"</w:t>
            </w:r>
          </w:p>
        </w:tc>
        <w:tc>
          <w:tcPr>
            <w:tcW w:w="8818" w:type="dxa"/>
          </w:tcPr>
          <w:p w:rsidR="00167B63" w:rsidRPr="00167B63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Trojan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Downloader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— это программа, основным назначением которой является скрытая несанкционированная загрузка программного обеспечения из интернета. Наиболее известным источником </w:t>
            </w:r>
            <w:r>
              <w:rPr>
                <w:rFonts w:ascii="Arial" w:hAnsi="Arial" w:cs="Arial"/>
                <w:sz w:val="18"/>
                <w:szCs w:val="18"/>
              </w:rPr>
              <w:t>Trojan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Downloader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являются хакерские сайты. Сам по себе </w:t>
            </w:r>
            <w:r>
              <w:rPr>
                <w:rFonts w:ascii="Arial" w:hAnsi="Arial" w:cs="Arial"/>
                <w:sz w:val="18"/>
                <w:szCs w:val="18"/>
              </w:rPr>
              <w:t>Trojan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Downloader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не несет прямой угрозы для компьютера — он опасен именно тем, что производит неконтролируемую загрузку программного обеспечения. </w:t>
            </w:r>
            <w:r>
              <w:rPr>
                <w:rFonts w:ascii="Arial" w:hAnsi="Arial" w:cs="Arial"/>
                <w:sz w:val="18"/>
                <w:szCs w:val="18"/>
              </w:rPr>
              <w:t>Trojan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Downloader</w:t>
            </w:r>
            <w:r w:rsidRPr="00167B63">
              <w:rPr>
                <w:rFonts w:ascii="Arial" w:hAnsi="Arial" w:cs="Arial"/>
                <w:sz w:val="18"/>
                <w:szCs w:val="18"/>
                <w:lang w:val="ru-RU"/>
              </w:rPr>
              <w:t xml:space="preserve"> применяются в основном для загрузки вирусов, троянских и шпионских программ.</w:t>
            </w:r>
          </w:p>
        </w:tc>
      </w:tr>
      <w:tr w:rsidR="00167B63" w:rsidRPr="00167B63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167B63" w:rsidRPr="00167B63" w:rsidRDefault="00167B63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167B63" w:rsidRPr="00167B63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167B63" w:rsidRPr="00167B63" w:rsidRDefault="00167B63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0A1E8D" w:rsidRPr="008436CD" w:rsidTr="000A1E8D">
        <w:trPr>
          <w:trHeight w:val="443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9" w:type="dxa"/>
            <w:vMerge w:val="restart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REPORT_EVENT_TROJAN_GEN</w:t>
            </w:r>
          </w:p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</w:p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("Trojan.cryptor")</w:t>
            </w:r>
          </w:p>
        </w:tc>
        <w:tc>
          <w:tcPr>
            <w:tcW w:w="8818" w:type="dxa"/>
          </w:tcPr>
          <w:p w:rsidR="000A1E8D" w:rsidRPr="00D1386A" w:rsidRDefault="000A1E8D" w:rsidP="000A1E8D">
            <w:pPr>
              <w:rPr>
                <w:color w:val="FF0000"/>
                <w:lang w:val="ru-RU"/>
              </w:rPr>
            </w:pP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TrojanCryptor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 xml:space="preserve"> – это программа, модифицирующая документы пользователя (чаще всего 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MSOffice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) таким образом, чтобы с этими документами не возможно было дальше работать. Чаще всего за возврат документов в исходное состояние автор данного криптора требует с пользователя деньги.</w:t>
            </w:r>
          </w:p>
        </w:tc>
      </w:tr>
      <w:tr w:rsidR="000A1E8D" w:rsidRPr="008436CD" w:rsidTr="00D1386A">
        <w:trPr>
          <w:trHeight w:val="559"/>
          <w:jc w:val="center"/>
        </w:trPr>
        <w:tc>
          <w:tcPr>
            <w:tcW w:w="765" w:type="dxa"/>
            <w:vMerge/>
            <w:vAlign w:val="center"/>
          </w:tcPr>
          <w:p w:rsidR="000A1E8D" w:rsidRPr="008436CD" w:rsidRDefault="000A1E8D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0A1E8D" w:rsidRPr="008436C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0A1E8D" w:rsidRPr="008436C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FA47AA" w:rsidRPr="00D1386A" w:rsidTr="00FA47AA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FA47AA" w:rsidRDefault="00FA47AA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9" w:type="dxa"/>
            <w:vMerge w:val="restart"/>
            <w:vAlign w:val="center"/>
          </w:tcPr>
          <w:p w:rsidR="00FA47AA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REPORT_EVENT_TASKMGR_PROT</w:t>
            </w:r>
          </w:p>
          <w:p w:rsidR="00FA47AA" w:rsidRPr="009506F5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"TaskManager protection"</w:t>
            </w:r>
          </w:p>
        </w:tc>
        <w:tc>
          <w:tcPr>
            <w:tcW w:w="8818" w:type="dxa"/>
          </w:tcPr>
          <w:p w:rsidR="00FA47AA" w:rsidRPr="00D1386A" w:rsidRDefault="00D1386A" w:rsidP="009C4C9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</w:pP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Некоторые вредоносные программы пытаются спрятать свое присутствие в системе от пользователя путем изменения адресного пространства «менеджера процессов» («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Task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 xml:space="preserve"> 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Manager</w:t>
            </w:r>
            <w:r w:rsidRPr="00D1386A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»)</w:t>
            </w:r>
          </w:p>
        </w:tc>
      </w:tr>
      <w:tr w:rsidR="00FA47AA" w:rsidRPr="00D1386A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FA47AA" w:rsidRPr="00D1386A" w:rsidRDefault="00FA47AA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A47AA" w:rsidRPr="00D1386A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A47AA" w:rsidRPr="00D1386A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0A1E8D" w:rsidRPr="00D1386A" w:rsidTr="000A1E8D">
        <w:trPr>
          <w:trHeight w:val="1020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9" w:type="dxa"/>
            <w:vMerge w:val="restart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REPORT_EVENT_DRIVER_INS</w:t>
            </w:r>
          </w:p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driver installation"</w:t>
            </w:r>
          </w:p>
        </w:tc>
        <w:tc>
          <w:tcPr>
            <w:tcW w:w="8818" w:type="dxa"/>
          </w:tcPr>
          <w:p w:rsidR="000A1E8D" w:rsidRPr="00D1386A" w:rsidRDefault="00D1386A" w:rsidP="00D1386A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Некоторые вредоносные программы патаются установить на систему собственные драйверы чтобы получить доступ к операционной системе на низком уровне</w:t>
            </w:r>
            <w:r w:rsidR="0003067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 xml:space="preserve"> тем самым пытаясь скрыть свое присутствие и сделать тяжелым процесс совего удаления из системы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.</w:t>
            </w:r>
          </w:p>
        </w:tc>
      </w:tr>
      <w:tr w:rsidR="00FA47AA" w:rsidRPr="00D1386A" w:rsidTr="0003067D">
        <w:trPr>
          <w:trHeight w:val="841"/>
          <w:jc w:val="center"/>
        </w:trPr>
        <w:tc>
          <w:tcPr>
            <w:tcW w:w="765" w:type="dxa"/>
            <w:vMerge/>
            <w:vAlign w:val="center"/>
          </w:tcPr>
          <w:p w:rsidR="00FA47AA" w:rsidRPr="00D1386A" w:rsidRDefault="00FA47AA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FA47AA" w:rsidRPr="00D1386A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FA47AA" w:rsidRPr="00D1386A" w:rsidRDefault="00FA47AA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0A1E8D" w:rsidRPr="0003067D" w:rsidTr="000A1E8D">
        <w:trPr>
          <w:trHeight w:val="293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9" w:type="dxa"/>
            <w:vMerge w:val="restart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REPORT_EVENT_HIDDEN_SEND</w:t>
            </w:r>
          </w:p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data sending"</w:t>
            </w:r>
          </w:p>
        </w:tc>
        <w:tc>
          <w:tcPr>
            <w:tcW w:w="8818" w:type="dxa"/>
          </w:tcPr>
          <w:p w:rsidR="000A1E8D" w:rsidRPr="0003067D" w:rsidRDefault="0003067D" w:rsidP="0003067D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Некоторые вредоносные программы патаются управлять работой других стандартных приложений (без ведома пользователя) в своих корыстных целях.</w:t>
            </w:r>
          </w:p>
        </w:tc>
      </w:tr>
      <w:tr w:rsidR="000A1E8D" w:rsidRPr="0003067D" w:rsidTr="000A1E8D">
        <w:trPr>
          <w:trHeight w:val="293"/>
          <w:jc w:val="center"/>
        </w:trPr>
        <w:tc>
          <w:tcPr>
            <w:tcW w:w="765" w:type="dxa"/>
            <w:vMerge/>
            <w:vAlign w:val="center"/>
          </w:tcPr>
          <w:p w:rsidR="000A1E8D" w:rsidRPr="0003067D" w:rsidRDefault="000A1E8D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0A1E8D" w:rsidRPr="0003067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0A1E8D" w:rsidRPr="0003067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</w:tr>
      <w:tr w:rsidR="00D1386A" w:rsidRPr="009506F5" w:rsidTr="00D1386A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D1386A" w:rsidRDefault="00D1386A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9" w:type="dxa"/>
            <w:vMerge w:val="restart"/>
            <w:vAlign w:val="center"/>
          </w:tcPr>
          <w:p w:rsidR="00D1386A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REPORT_EVENT_MASS_MAILER</w:t>
            </w:r>
          </w:p>
          <w:p w:rsidR="00D1386A" w:rsidRPr="009506F5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"Mass-mailer software"</w:t>
            </w:r>
          </w:p>
        </w:tc>
        <w:tc>
          <w:tcPr>
            <w:tcW w:w="8818" w:type="dxa"/>
          </w:tcPr>
          <w:p w:rsidR="00D1386A" w:rsidRPr="009506F5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1386A" w:rsidRPr="009506F5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D1386A" w:rsidRDefault="00D1386A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D1386A" w:rsidRPr="009506F5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8818" w:type="dxa"/>
          </w:tcPr>
          <w:p w:rsidR="00D1386A" w:rsidRPr="009506F5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1386A" w:rsidRPr="0003067D" w:rsidTr="00D1386A">
        <w:trPr>
          <w:trHeight w:val="225"/>
          <w:jc w:val="center"/>
        </w:trPr>
        <w:tc>
          <w:tcPr>
            <w:tcW w:w="765" w:type="dxa"/>
            <w:vMerge w:val="restart"/>
            <w:vAlign w:val="center"/>
          </w:tcPr>
          <w:p w:rsidR="00D1386A" w:rsidRDefault="00D1386A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9" w:type="dxa"/>
            <w:vMerge w:val="restart"/>
            <w:vAlign w:val="center"/>
          </w:tcPr>
          <w:p w:rsidR="00D1386A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REPORT_EVENT_BROWSERCONTROL</w:t>
            </w:r>
          </w:p>
          <w:p w:rsidR="00D1386A" w:rsidRPr="009506F5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"Internet Browser Control"</w:t>
            </w:r>
          </w:p>
        </w:tc>
        <w:tc>
          <w:tcPr>
            <w:tcW w:w="8818" w:type="dxa"/>
          </w:tcPr>
          <w:p w:rsidR="00D1386A" w:rsidRPr="0003067D" w:rsidRDefault="0003067D" w:rsidP="0003067D">
            <w:pPr>
              <w:rPr>
                <w:rFonts w:ascii="Courier New" w:hAnsi="Courier New" w:cs="Courier New"/>
                <w:noProof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ru-RU"/>
              </w:rPr>
              <w:t>Некоторые вредоносные программы патаются управлять работой интернет браузеров (например для перехода на зараженный сайт без ведома пользователя)</w:t>
            </w:r>
          </w:p>
        </w:tc>
      </w:tr>
      <w:tr w:rsidR="00D1386A" w:rsidRPr="0003067D" w:rsidTr="000A1E8D">
        <w:trPr>
          <w:trHeight w:val="225"/>
          <w:jc w:val="center"/>
        </w:trPr>
        <w:tc>
          <w:tcPr>
            <w:tcW w:w="765" w:type="dxa"/>
            <w:vMerge/>
            <w:vAlign w:val="center"/>
          </w:tcPr>
          <w:p w:rsidR="00D1386A" w:rsidRPr="0003067D" w:rsidRDefault="00D1386A" w:rsidP="009C4C9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79" w:type="dxa"/>
            <w:vMerge/>
            <w:vAlign w:val="center"/>
          </w:tcPr>
          <w:p w:rsidR="00D1386A" w:rsidRPr="0003067D" w:rsidRDefault="00D1386A" w:rsidP="009C4C95">
            <w:pPr>
              <w:rPr>
                <w:rFonts w:ascii="Courier New" w:hAnsi="Courier New" w:cs="Courier New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8818" w:type="dxa"/>
          </w:tcPr>
          <w:p w:rsidR="00D1386A" w:rsidRPr="0003067D" w:rsidRDefault="00D1386A" w:rsidP="009C4C95">
            <w:pPr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ru-RU"/>
              </w:rPr>
            </w:pPr>
          </w:p>
        </w:tc>
      </w:tr>
      <w:tr w:rsidR="000A1E8D" w:rsidRPr="009506F5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9" w:type="dxa"/>
            <w:vAlign w:val="center"/>
          </w:tcPr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REPORT_EVENT_MAX</w:t>
            </w:r>
          </w:p>
        </w:tc>
        <w:tc>
          <w:tcPr>
            <w:tcW w:w="8818" w:type="dxa"/>
          </w:tcPr>
          <w:p w:rsidR="000A1E8D" w:rsidRPr="003D659F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D1386A" w:rsidRPr="009506F5" w:rsidTr="00D1386A">
        <w:trPr>
          <w:trHeight w:val="338"/>
          <w:jc w:val="center"/>
        </w:trPr>
        <w:tc>
          <w:tcPr>
            <w:tcW w:w="13462" w:type="dxa"/>
            <w:gridSpan w:val="3"/>
            <w:vAlign w:val="center"/>
          </w:tcPr>
          <w:p w:rsidR="00D1386A" w:rsidRDefault="00D1386A" w:rsidP="00D1386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866C5">
              <w:rPr>
                <w:rFonts w:ascii="Courier New" w:hAnsi="Courier New" w:cs="Courier New"/>
                <w:noProof/>
                <w:sz w:val="28"/>
                <w:szCs w:val="28"/>
              </w:rPr>
              <w:t>Only in PDM2</w:t>
            </w:r>
          </w:p>
        </w:tc>
      </w:tr>
      <w:tr w:rsidR="000A1E8D" w:rsidRPr="009506F5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9" w:type="dxa"/>
            <w:vMerge w:val="restart"/>
            <w:vAlign w:val="center"/>
          </w:tcPr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“AntiAV”</w:t>
            </w:r>
          </w:p>
        </w:tc>
        <w:tc>
          <w:tcPr>
            <w:tcW w:w="8818" w:type="dxa"/>
          </w:tcPr>
          <w:p w:rsidR="000A1E8D" w:rsidRPr="003D659F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Tr="000A1E8D">
        <w:trPr>
          <w:trHeight w:val="337"/>
          <w:jc w:val="center"/>
        </w:trPr>
        <w:tc>
          <w:tcPr>
            <w:tcW w:w="765" w:type="dxa"/>
            <w:vMerge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A1E8D" w:rsidRPr="009506F5" w:rsidTr="000A1E8D">
        <w:trPr>
          <w:trHeight w:val="338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9" w:type="dxa"/>
            <w:vMerge w:val="restart"/>
            <w:vAlign w:val="center"/>
          </w:tcPr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“AntiAVMultiple”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A1E8D" w:rsidTr="000A1E8D">
        <w:trPr>
          <w:trHeight w:val="337"/>
          <w:jc w:val="center"/>
        </w:trPr>
        <w:tc>
          <w:tcPr>
            <w:tcW w:w="765" w:type="dxa"/>
            <w:vMerge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8818" w:type="dxa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9506F5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9" w:type="dxa"/>
            <w:vAlign w:val="center"/>
          </w:tcPr>
          <w:p w:rsidR="000A1E8D" w:rsidRPr="009506F5" w:rsidRDefault="000A1E8D" w:rsidP="009C4C9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IEStartPage”</w:t>
            </w:r>
          </w:p>
        </w:tc>
        <w:tc>
          <w:tcPr>
            <w:tcW w:w="8818" w:type="dxa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E30F18" w:rsidTr="000A1E8D">
        <w:trPr>
          <w:trHeight w:val="293"/>
          <w:jc w:val="center"/>
        </w:trPr>
        <w:tc>
          <w:tcPr>
            <w:tcW w:w="765" w:type="dxa"/>
            <w:vMerge w:val="restart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9" w:type="dxa"/>
            <w:vMerge w:val="restart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"SecurityViolation"</w:t>
            </w:r>
          </w:p>
        </w:tc>
        <w:tc>
          <w:tcPr>
            <w:tcW w:w="8818" w:type="dxa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D1386A" w:rsidRPr="00E30F18" w:rsidTr="00D1386A">
        <w:trPr>
          <w:trHeight w:val="370"/>
          <w:jc w:val="center"/>
        </w:trPr>
        <w:tc>
          <w:tcPr>
            <w:tcW w:w="765" w:type="dxa"/>
            <w:vMerge/>
            <w:vAlign w:val="center"/>
          </w:tcPr>
          <w:p w:rsidR="00D1386A" w:rsidRDefault="00D1386A" w:rsidP="009C4C95">
            <w:pPr>
              <w:rPr>
                <w:sz w:val="24"/>
                <w:szCs w:val="24"/>
              </w:rPr>
            </w:pPr>
          </w:p>
        </w:tc>
        <w:tc>
          <w:tcPr>
            <w:tcW w:w="3879" w:type="dxa"/>
            <w:vMerge/>
            <w:vAlign w:val="center"/>
          </w:tcPr>
          <w:p w:rsidR="00D1386A" w:rsidRPr="00E30F18" w:rsidRDefault="00D1386A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8818" w:type="dxa"/>
          </w:tcPr>
          <w:p w:rsidR="00D1386A" w:rsidRPr="00E30F18" w:rsidRDefault="00D1386A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E30F18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9" w:type="dxa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“KillSystemFiles”</w:t>
            </w:r>
          </w:p>
        </w:tc>
        <w:tc>
          <w:tcPr>
            <w:tcW w:w="8818" w:type="dxa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E30F18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9" w:type="dxa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“PswAccess”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E30F18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9" w:type="dxa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“PswAccessMultiple”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RPr="00E30F18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9" w:type="dxa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 w:rsidRPr="0029688B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StartSystemFileSuspended”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</w:p>
        </w:tc>
      </w:tr>
      <w:tr w:rsidR="000A1E8D" w:rsidRPr="00E30F18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9" w:type="dxa"/>
            <w:vAlign w:val="center"/>
          </w:tcPr>
          <w:p w:rsidR="000A1E8D" w:rsidRPr="00E30F18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 w:rsidRPr="008B65A9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StartWithSystemName”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879" w:type="dxa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“OnChangeSystemRegistry”</w:t>
            </w:r>
          </w:p>
        </w:tc>
        <w:tc>
          <w:tcPr>
            <w:tcW w:w="8818" w:type="dxa"/>
          </w:tcPr>
          <w:p w:rsidR="000A1E8D" w:rsidRPr="004E01D8" w:rsidRDefault="000A1E8D" w:rsidP="009C4C95">
            <w:pP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</w:p>
        </w:tc>
      </w:tr>
      <w:tr w:rsidR="000A1E8D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9" w:type="dxa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OnInstallInNTFSStream”</w:t>
            </w:r>
          </w:p>
        </w:tc>
        <w:tc>
          <w:tcPr>
            <w:tcW w:w="8818" w:type="dxa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0A1E8D" w:rsidTr="000A1E8D">
        <w:trPr>
          <w:jc w:val="center"/>
        </w:trPr>
        <w:tc>
          <w:tcPr>
            <w:tcW w:w="765" w:type="dxa"/>
            <w:vAlign w:val="center"/>
          </w:tcPr>
          <w:p w:rsidR="000A1E8D" w:rsidRDefault="000A1E8D" w:rsidP="009C4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9" w:type="dxa"/>
            <w:vAlign w:val="center"/>
          </w:tcPr>
          <w:p w:rsidR="000A1E8D" w:rsidRDefault="000A1E8D" w:rsidP="009C4C95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4E01D8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“OnDeleteSelf”</w:t>
            </w:r>
          </w:p>
        </w:tc>
        <w:tc>
          <w:tcPr>
            <w:tcW w:w="8818" w:type="dxa"/>
          </w:tcPr>
          <w:p w:rsidR="000A1E8D" w:rsidRPr="004E01D8" w:rsidRDefault="000A1E8D" w:rsidP="009C4C95">
            <w:pP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</w:p>
        </w:tc>
      </w:tr>
    </w:tbl>
    <w:p w:rsidR="00605B01" w:rsidRDefault="00605B01"/>
    <w:sectPr w:rsidR="00605B01" w:rsidSect="00F31B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abstractNum w:abstractNumId="0">
    <w:nsid w:val="20854896"/>
    <w:multiLevelType w:val="hybridMultilevel"/>
    <w:tmpl w:val="D6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370B1"/>
    <w:multiLevelType w:val="multilevel"/>
    <w:tmpl w:val="21DC5E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9C4C95"/>
    <w:rsid w:val="0003067D"/>
    <w:rsid w:val="000622D2"/>
    <w:rsid w:val="000A1E8D"/>
    <w:rsid w:val="00167B63"/>
    <w:rsid w:val="00397920"/>
    <w:rsid w:val="00605B01"/>
    <w:rsid w:val="008436CD"/>
    <w:rsid w:val="009C4C95"/>
    <w:rsid w:val="00C03FDF"/>
    <w:rsid w:val="00D1386A"/>
    <w:rsid w:val="00ED2060"/>
    <w:rsid w:val="00F2467D"/>
    <w:rsid w:val="00F31B2F"/>
    <w:rsid w:val="00FA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C4C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C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1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Martynenko</dc:creator>
  <cp:keywords/>
  <dc:description/>
  <cp:lastModifiedBy>Vladislav Martynenko</cp:lastModifiedBy>
  <cp:revision>5</cp:revision>
  <dcterms:created xsi:type="dcterms:W3CDTF">2007-05-21T13:16:00Z</dcterms:created>
  <dcterms:modified xsi:type="dcterms:W3CDTF">2007-05-21T14:08:00Z</dcterms:modified>
</cp:coreProperties>
</file>