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ind w:firstLine="0"/>
        <w:jc w:val="center"/>
      </w:pPr>
      <w:r>
        <w:rPr>
          <w:rFonts w:ascii="Times New Roman" w:hAnsi="Times New Roman" w:cs="Times New Roman"/>
        </w:rPr>
        <w:t>Публичное акционерное общество «Газпром автоматизация»</w:t>
      </w:r>
    </w:p>
    <w:p>
      <w:pPr>
        <w:ind w:firstLine="0"/>
        <w:jc w:val="center"/>
      </w:pPr>
      <w:r>
        <w:rPr>
          <w:rFonts w:ascii="Times New Roman" w:hAnsi="Times New Roman" w:cs="Times New Roman"/>
        </w:rPr>
        <w:t>Проектный офис «Промысел-И»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  <w:ind w:firstLine="0"/>
        <w:jc w:val="center"/>
      </w:pPr>
      <w:r>
        <w:rPr>
          <w:rFonts w:ascii="Times New Roman" w:hAnsi="Times New Roman" w:cs="Times New Roman"/>
          <w:b/>
          <w:sz w:val="40"/>
        </w:rPr>
        <w:t>БИЗНЕС-ПЛАН</w:t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Система автоматизации технологических процессов подготовки нефти, газа и конденсата</w:t>
      </w:r>
    </w:p>
    <w:p>
      <w:pPr>
        <w:ind w:firstLine="0"/>
        <w:jc w:val="center"/>
      </w:pPr>
      <w:r>
        <w:rPr>
          <w:rFonts w:ascii="Times New Roman" w:hAnsi="Times New Roman" w:cs="Times New Roman"/>
        </w:rPr>
        <w:t>Интеллектуальная АСУ ТП «Промысел-И»: программно-технический комплекс и интеллектуальные модули для УКПГ, УПН и установок стабилизации конденсата</w:t>
      </w:r>
    </w:p>
    <w:p>
      <w:pPr>
        <w:ind w:firstLine="0"/>
        <w:jc w:val="center"/>
      </w:pPr>
      <w:r>
        <w:rPr>
          <w:rFonts w:ascii="Times New Roman" w:hAnsi="Times New Roman" w:cs="Times New Roman"/>
        </w:rPr>
        <w:t>Пилотный объект — УКПГ-2 Ковыктинского газоконденсатного месторождения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ind w:firstLine="0"/>
        <w:jc w:val="right"/>
      </w:pPr>
      <w:r>
        <w:rPr>
          <w:rFonts w:ascii="Times New Roman" w:hAnsi="Times New Roman" w:cs="Times New Roman"/>
          <w:b/>
        </w:rPr>
        <w:t xml:space="preserve">Автор проекта: </w:t>
      </w:r>
      <w:r>
        <w:rPr>
          <w:rFonts w:ascii="Times New Roman" w:hAnsi="Times New Roman" w:cs="Times New Roman"/>
        </w:rPr>
        <w:t>Корытов Фёдор Андреевич</w:t>
      </w:r>
    </w:p>
    <w:p>
      <w:pPr>
        <w:spacing w:after="0"/>
        <w:ind w:firstLine="0"/>
        <w:jc w:val="right"/>
      </w:pPr>
      <w:r>
        <w:rPr>
          <w:rFonts w:ascii="Times New Roman" w:hAnsi="Times New Roman" w:cs="Times New Roman"/>
        </w:rPr>
        <w:t>старший мастер по подготовке газа</w:t>
      </w:r>
    </w:p>
    <w:p>
      <w:pPr>
        <w:ind w:firstLine="0"/>
        <w:jc w:val="right"/>
      </w:pPr>
      <w:r>
        <w:rPr>
          <w:rFonts w:ascii="Times New Roman" w:hAnsi="Times New Roman" w:cs="Times New Roman"/>
        </w:rPr>
        <w:t>ООО «Газпром добыча Иркутск»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ind w:firstLine="0"/>
        <w:jc w:val="center"/>
      </w:pPr>
      <w:r>
        <w:rPr>
          <w:rFonts w:ascii="Times New Roman" w:hAnsi="Times New Roman" w:cs="Times New Roman"/>
        </w:rPr>
        <w:t>Иркутск, 2026</w:t>
      </w:r>
    </w:p>
    <w:p>
      <w:pPr>
        <w:pageBreakBefore/>
        <w:spacing w:after="240"/>
        <w:ind w:firstLine="0"/>
        <w:jc w:val="center"/>
      </w:pPr>
      <w:r>
        <w:rPr>
          <w:rFonts w:ascii="Times New Roman" w:hAnsi="Times New Roman" w:cs="Times New Roman"/>
          <w:b/>
        </w:rPr>
        <w:t>СОДЕРЖАНИЕ</w:t>
      </w:r>
    </w:p>
    <w:p>
      <w:pPr>
        <w:tabs>
          <w:tab w:pos="9808" w:val="right" w:leader="dot"/>
        </w:tabs>
        <w:spacing w:after="40"/>
        <w:ind w:firstLine="0" w:left="0" w:right="454"/>
        <w:jc w:val="left"/>
      </w:pPr>
      <w:r>
        <w:rPr>
          <w:rFonts w:ascii="Times New Roman" w:hAnsi="Times New Roman" w:cs="Times New Roman"/>
        </w:rPr>
        <w:t>1 РЕЗЮМЕ ПРОЕКТА</w:t>
        <w:tab/>
        <w:t>3</w:t>
      </w:r>
    </w:p>
    <w:p>
      <w:pPr>
        <w:tabs>
          <w:tab w:pos="9808" w:val="right" w:leader="dot"/>
        </w:tabs>
        <w:spacing w:after="40"/>
        <w:ind w:firstLine="0" w:left="0" w:right="454"/>
        <w:jc w:val="left"/>
      </w:pPr>
      <w:r>
        <w:rPr>
          <w:rFonts w:ascii="Times New Roman" w:hAnsi="Times New Roman" w:cs="Times New Roman"/>
        </w:rPr>
        <w:t>2 ИНФОРМАЦИЯ ОБ ИНИЦИАТОРЕ ПРОЕКТА</w:t>
        <w:tab/>
        <w:t>4</w:t>
      </w:r>
    </w:p>
    <w:p>
      <w:pPr>
        <w:tabs>
          <w:tab w:pos="9808" w:val="right" w:leader="dot"/>
        </w:tabs>
        <w:spacing w:after="40"/>
        <w:ind w:firstLine="0" w:left="0" w:right="454"/>
        <w:jc w:val="left"/>
      </w:pPr>
      <w:r>
        <w:rPr>
          <w:rFonts w:ascii="Times New Roman" w:hAnsi="Times New Roman" w:cs="Times New Roman"/>
        </w:rPr>
        <w:t>3 ПРЕДСТАВЛЕНИЕ ПРОЕКТА</w:t>
        <w:tab/>
        <w:t>5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3.1 История развития автоматизации подготовки нефти, газа и конденсата</w:t>
        <w:tab/>
        <w:t>5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3.2 Перечень предоставляемых услуг и стоимость</w:t>
        <w:tab/>
        <w:t>6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3.3 Конкурентные преимущества</w:t>
        <w:tab/>
        <w:t>7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3.4 Географическое расположение объекта и технические характеристики</w:t>
        <w:tab/>
        <w:t>8</w:t>
      </w:r>
    </w:p>
    <w:p>
      <w:pPr>
        <w:tabs>
          <w:tab w:pos="9808" w:val="right" w:leader="dot"/>
        </w:tabs>
        <w:spacing w:after="40"/>
        <w:ind w:firstLine="0" w:left="0" w:right="454"/>
        <w:jc w:val="left"/>
      </w:pPr>
      <w:r>
        <w:rPr>
          <w:rFonts w:ascii="Times New Roman" w:hAnsi="Times New Roman" w:cs="Times New Roman"/>
        </w:rPr>
        <w:t>4 МАРКЕТИНГОВЫЙ ПЛАН</w:t>
        <w:tab/>
        <w:t>12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4.1 Исследование рынка</w:t>
        <w:tab/>
        <w:t>12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4.2 Сегментация рынка</w:t>
        <w:tab/>
        <w:t>13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4.3 Продвижение продукта и проведение мероприятий по выходу на рынок</w:t>
        <w:tab/>
        <w:t>14</w:t>
      </w:r>
    </w:p>
    <w:p>
      <w:pPr>
        <w:tabs>
          <w:tab w:pos="9808" w:val="right" w:leader="dot"/>
        </w:tabs>
        <w:spacing w:after="40"/>
        <w:ind w:firstLine="0" w:left="0" w:right="454"/>
        <w:jc w:val="left"/>
      </w:pPr>
      <w:r>
        <w:rPr>
          <w:rFonts w:ascii="Times New Roman" w:hAnsi="Times New Roman" w:cs="Times New Roman"/>
        </w:rPr>
        <w:t>5 ОРГАНИЗАЦИОННЫЙ ПЛАН</w:t>
        <w:tab/>
        <w:t>16</w:t>
      </w:r>
    </w:p>
    <w:p>
      <w:pPr>
        <w:tabs>
          <w:tab w:pos="9808" w:val="right" w:leader="dot"/>
        </w:tabs>
        <w:spacing w:after="40"/>
        <w:ind w:firstLine="0" w:left="0" w:right="454"/>
        <w:jc w:val="left"/>
      </w:pPr>
      <w:r>
        <w:rPr>
          <w:rFonts w:ascii="Times New Roman" w:hAnsi="Times New Roman" w:cs="Times New Roman"/>
        </w:rPr>
        <w:t>6 ПРОИЗВОДСТВЕННЫЙ (КАЛЕНДАРНЫЙ) ПЛАН</w:t>
        <w:tab/>
        <w:t>17</w:t>
      </w:r>
    </w:p>
    <w:p>
      <w:pPr>
        <w:tabs>
          <w:tab w:pos="9808" w:val="right" w:leader="dot"/>
        </w:tabs>
        <w:spacing w:after="40"/>
        <w:ind w:firstLine="0" w:left="0" w:right="454"/>
        <w:jc w:val="left"/>
      </w:pPr>
      <w:r>
        <w:rPr>
          <w:rFonts w:ascii="Times New Roman" w:hAnsi="Times New Roman" w:cs="Times New Roman"/>
        </w:rPr>
        <w:t>7 ФИНАНСОВЫЙ ПЛАН</w:t>
        <w:tab/>
        <w:t>18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7.1 Инвестиционные затраты</w:t>
        <w:tab/>
        <w:t>18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7.2 План выручки</w:t>
        <w:tab/>
        <w:t>18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7.3 Текущие затраты</w:t>
        <w:tab/>
        <w:t>19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7.4 Денежные потоки и показатели эффективности</w:t>
        <w:tab/>
        <w:t>19</w:t>
      </w:r>
    </w:p>
    <w:p>
      <w:pPr>
        <w:tabs>
          <w:tab w:pos="9808" w:val="right" w:leader="dot"/>
        </w:tabs>
        <w:spacing w:after="40"/>
        <w:ind w:firstLine="0" w:left="425" w:right="454"/>
        <w:jc w:val="left"/>
      </w:pPr>
      <w:r>
        <w:rPr>
          <w:rFonts w:ascii="Times New Roman" w:hAnsi="Times New Roman" w:cs="Times New Roman"/>
        </w:rPr>
        <w:t>7.5 Анализ чувствительности</w:t>
        <w:tab/>
        <w:t>20</w:t>
      </w:r>
    </w:p>
    <w:p>
      <w:pPr>
        <w:tabs>
          <w:tab w:pos="9808" w:val="right" w:leader="dot"/>
        </w:tabs>
        <w:spacing w:after="40"/>
        <w:ind w:firstLine="0" w:left="0" w:right="454"/>
        <w:jc w:val="left"/>
      </w:pPr>
      <w:r>
        <w:rPr>
          <w:rFonts w:ascii="Times New Roman" w:hAnsi="Times New Roman" w:cs="Times New Roman"/>
        </w:rPr>
        <w:t>8 ОЦЕНКА РИСКОВ</w:t>
        <w:tab/>
        <w:t>22</w:t>
      </w:r>
    </w:p>
    <w:p>
      <w:pPr>
        <w:tabs>
          <w:tab w:pos="9808" w:val="right" w:leader="dot"/>
        </w:tabs>
        <w:spacing w:after="40"/>
        <w:ind w:firstLine="0" w:left="0" w:right="454"/>
        <w:jc w:val="left"/>
      </w:pPr>
      <w:r>
        <w:rPr>
          <w:rFonts w:ascii="Times New Roman" w:hAnsi="Times New Roman" w:cs="Times New Roman"/>
        </w:rPr>
        <w:t>ЗАКЛЮЧЕНИЕ</w:t>
        <w:tab/>
        <w:t>23</w:t>
      </w:r>
    </w:p>
    <w:p>
      <w:pPr>
        <w:tabs>
          <w:tab w:pos="9808" w:val="right" w:leader="dot"/>
        </w:tabs>
        <w:spacing w:after="40"/>
        <w:ind w:firstLine="0" w:left="0" w:right="454"/>
        <w:jc w:val="left"/>
      </w:pPr>
      <w:r>
        <w:rPr>
          <w:rFonts w:ascii="Times New Roman" w:hAnsi="Times New Roman" w:cs="Times New Roman"/>
        </w:rPr>
        <w:t>СПИСОК ИСПОЛЬЗОВАННЫХ ИСТОЧНИКОВ</w:t>
        <w:tab/>
        <w:t>24</w:t>
      </w:r>
    </w:p>
    <w:p>
      <w:pPr>
        <w:keepNext/>
        <w:pageBreakBefore/>
        <w:spacing w:before="0"/>
      </w:pPr>
      <w:r>
        <w:rPr>
          <w:rFonts w:ascii="Times New Roman" w:hAnsi="Times New Roman" w:cs="Times New Roman"/>
          <w:b/>
        </w:rPr>
        <w:t>1 РЕЗЮМЕ ПРОЕКТА</w:t>
      </w:r>
    </w:p>
    <w:p>
      <w:r>
        <w:rPr>
          <w:rFonts w:ascii="Times New Roman" w:hAnsi="Times New Roman" w:cs="Times New Roman"/>
        </w:rPr>
        <w:t>Проект предусматривает вывод на рынок в контуре ПАО «Газпром автоматизация» продуктовой линейки «Промысел-И» — интеллектуальной автоматизированной системы управления технологическими процессами (ИАСУ ТП) подготовки нефти, газа и конденсата. Линейка продолжает историю АСУ ТП «Промысел 1» — первой отечественной системы управления газовым промыслом, внедрённой на УКПГ Юбилейного месторождения [1].</w:t>
      </w:r>
    </w:p>
    <w:p>
      <w:r>
        <w:rPr>
          <w:rFonts w:ascii="Times New Roman" w:hAnsi="Times New Roman" w:cs="Times New Roman"/>
        </w:rPr>
        <w:t>Базовые системы управления на промыслах Группы Газпром уже переведены на российские программно-технические средства: в 2022 году такие системы введены на Бованенковском, Ковыктинском и Чаяндинском месторождениях [2], а системы управления УКПГ-2 Ковыктинского ГКМ стали первыми в России, внедрёнными без западных операционных систем [3]. Следующий шаг, который предлагает проект, — интеллектуальный контур поверх этих систем: система усовершенствованного управления (СУУТП), цифровой двойник установки с оптимизацией подачи ингибитора гидратообразования, предиктивная диагностика оборудования и компьютерный тренажёрный комплекс.</w:t>
      </w:r>
    </w:p>
    <w:p>
      <w:r>
        <w:rPr>
          <w:rFonts w:ascii="Times New Roman" w:hAnsi="Times New Roman" w:cs="Times New Roman"/>
        </w:rPr>
        <w:t>Пилотным объектом выбрана УКПГ-2 Ковыктинского ГКМ (ООО «Газпром добыча Иркутск»), где сходятся процессы низкотемпературной сепарации, стабилизации конденсата и регенерации метанола [14]. Целевые эффекты пилота: снижение удельного расхода метанола на 10–15%, уменьшение колебаний температуры НТС в 2–3 раза, сокращение внеплановых остановов ГПА на 20–30% (оценки автора, подтверждаются на приёмочных испытаниях). Ключевые показатели проекта приведены в таблице 1.1; все стоимостные показатели — без НДС, оценка автора по открытым данным.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1.1 — Ключевые показатели проекта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4252"/>
      </w:tblGrid>
      <w:tr>
        <w:trPr>
          <w:tblHeader/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Показатель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Горизонт планирования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2027–2033 гг. (7 лет)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Инвестиции 2027–2028 гг.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480 млн руб.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Выручка 2033 г.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2 928 млн руб.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Ставка дисконтирования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20% (ключевая ставка 14% [18] + 6 п. п. премии за риск)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Чистый дисконтированный доход (NPV)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374 млн руб.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Внутренняя норма доходности (IRR)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34,9%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Индекс доходности (PI)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1,64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Срок окупаемости простой / дисконтированный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4,6 / 5,6 года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Внедрённых объектов к 2033 г.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30</w:t>
            </w:r>
          </w:p>
        </w:tc>
      </w:tr>
    </w:tbl>
    <w:p>
      <w:pPr>
        <w:spacing w:after="0"/>
      </w:pPr>
    </w:p>
    <w:p>
      <w:pPr>
        <w:keepNext/>
        <w:pageBreakBefore/>
        <w:spacing w:before="0"/>
      </w:pPr>
      <w:r>
        <w:rPr>
          <w:rFonts w:ascii="Times New Roman" w:hAnsi="Times New Roman" w:cs="Times New Roman"/>
          <w:b/>
        </w:rPr>
        <w:t>2 ИНФОРМАЦИЯ ОБ ИНИЦИАТОРЕ ПРОЕКТА</w:t>
      </w:r>
    </w:p>
    <w:p>
      <w:r>
        <w:rPr>
          <w:rFonts w:ascii="Times New Roman" w:hAnsi="Times New Roman" w:cs="Times New Roman"/>
        </w:rPr>
        <w:t>Я, Корытов Фёдор Андреевич</w:t>
      </w:r>
    </w:p>
    <w:p>
      <w:r>
        <w:rPr>
          <w:rFonts w:ascii="Times New Roman" w:hAnsi="Times New Roman" w:cs="Times New Roman"/>
          <w:b/>
        </w:rPr>
        <w:t xml:space="preserve">Опыт работы: </w:t>
      </w:r>
      <w:r>
        <w:rPr>
          <w:rFonts w:ascii="Times New Roman" w:hAnsi="Times New Roman" w:cs="Times New Roman"/>
        </w:rPr>
        <w:t>старший мастер по подготовке газа — ООО «Газпром добыча Иркутск».</w:t>
      </w:r>
    </w:p>
    <w:p>
      <w:r>
        <w:rPr>
          <w:rFonts w:ascii="Times New Roman" w:hAnsi="Times New Roman" w:cs="Times New Roman"/>
        </w:rPr>
        <w:t>Бизнес-план реализуется в контуре ПАО «Газпром автоматизация» за счёт собственных средств компании.</w:t>
      </w:r>
    </w:p>
    <w:p>
      <w:pPr>
        <w:keepNext/>
        <w:pageBreakBefore/>
        <w:spacing w:before="0"/>
      </w:pPr>
      <w:r>
        <w:rPr>
          <w:rFonts w:ascii="Times New Roman" w:hAnsi="Times New Roman" w:cs="Times New Roman"/>
          <w:b/>
        </w:rPr>
        <w:t>3 ПРЕДСТАВЛЕНИЕ ПРОЕКТА</w:t>
      </w: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3.1 История развития автоматизации подготовки нефти, газа и конденсата</w:t>
      </w:r>
    </w:p>
    <w:p>
      <w:r>
        <w:rPr>
          <w:rFonts w:ascii="Times New Roman" w:hAnsi="Times New Roman" w:cs="Times New Roman"/>
        </w:rPr>
        <w:t>Автоматизация подготовки углеводородов прошла путь от местных пневматических регуляторов и релейных схем защиты к интегрированным системам управления и безопасности (ICSS), объединяющим распределённую систему управления (РСУ), противоаварийную защиту (ПАЗ), системы пожарной и газовой безопасности, а также информационные системы верхнего уровня. На каждом этапе ценность автоматизации смещалась: сначала — к надёжности исполнения, затем — к централизации и сокращению персонала, сегодня — к оптимизации режима на основе моделей и данных.</w:t>
      </w:r>
    </w:p>
    <w:p>
      <w:r>
        <w:rPr>
          <w:rFonts w:ascii="Times New Roman" w:hAnsi="Times New Roman" w:cs="Times New Roman"/>
        </w:rPr>
        <w:t>Мировые проекты последнего десятилетия показывают, что крупные объекты подготовки строятся как единый цифровой комплекс. Для завода «Ямал СПГ» мощностью 16,5 млн т в год компания Yokogawa поставила интегрированную систему на базе РСУ CENTUM VP и ПАЗ ProSafe-RS, систему управления производственной информацией Exaquantum, средства диагностики оборудования PRM и тренажёры операторов [8]. Компания Emerson стала главным подрядчиком по автоматизации проекта «Шах-Дениз-2» с контрактом более 40 млн долларов: DeltaV, DeltaV SIS и предиктивная диагностика AMS для двух платформ и терминала Сангачал [9]; по итогам проекта добыча стартовала раньше графика [10]. В 2026 году Emerson выбран для автоматизации проекта Shah Deniz Compression стоимостью 2,9 млрд долларов — необслуживаемой платформы с дистанционным управлением с берега [11].</w:t>
      </w:r>
    </w:p>
    <w:p>
      <w:r>
        <w:rPr>
          <w:rFonts w:ascii="Times New Roman" w:hAnsi="Times New Roman" w:cs="Times New Roman"/>
        </w:rPr>
        <w:t>На норвежском месторождении Aasta Hansteen система ABB 800xA контролирует около 100 000 состояний 4 000 единиц оборудования; автоматизация пусконаладки сократила ручные вмешательства на 98% и сэкономила более месяца ввода, что эквивалентно около 5 млн долларов в сутки [12]. Saudi Aramco на комплексе Абкайк — крупнейшем в мире объекте стабилизации нефти — применяет модели машинного обучения на 1,7 млрд точек данных, оптимизирующие одновременно 18 установок стабилизации; углеродоёмкость за 2019–2022 годы снижена на 31,8% [13].</w:t>
      </w:r>
    </w:p>
    <w:p>
      <w:r>
        <w:rPr>
          <w:rFonts w:ascii="Times New Roman" w:hAnsi="Times New Roman" w:cs="Times New Roman"/>
        </w:rPr>
        <w:t>В России центром компетенций в автоматизации газовой отрасли исторически является ПАО «Газпром автоматизация». Компания ведёт историю от СКБ «Газприборавтоматика», созданного в 1960 году, в 1972 году преобразована в «Союзгазавтоматику», с 2011 года носит текущее название [2]. Специалисты компании создали АСУ ТП «Промысел 1» — первую отечественную систему для УКПГ Юбилейного месторождения; всего создано и реконструировано более 500 систем, а системы управления работают на 52 УКПГ и УППГ [1]. Эволюция этих систем шла от локальных САУ исполнительных механизмов к централизованным системам, обеспечивающим работу месторождения в автоматическом режиме с минимальным участием персонала [1]. На Бованенковском месторождении впервые применён подход, при котором система не только отображает, но и управляет режимами промысла [19].</w:t>
      </w:r>
    </w:p>
    <w:p>
      <w:r>
        <w:rPr>
          <w:rFonts w:ascii="Times New Roman" w:hAnsi="Times New Roman" w:cs="Times New Roman"/>
        </w:rPr>
        <w:t>С 2014 года компания перевела системы управления на российскую элементную базу, в 2022 году ввела системы на отечественных ПТС на Бованенковском, Ковыктинском и Чаяндинском месторождениях [2], в том же году получила аккредитацию ИТ-компании [1]. Для УКПГ-2 Ковыкты применены ПТК «Поток-ДУ» и «Горизонт», а также система управления магнитным подвесом турбодетандера, серийно выпускаемая с 2022 года [3]. В 2025 году выручка компании составила 42,6 млрд руб. [4], доля на российском рынке АСУ ТП — 23,1% [5]; к 2030 году планируется рост оборота до 47,6 млрд руб., а выручки направления автоматизации — до 12,3 млрд руб. [4].</w:t>
      </w:r>
    </w:p>
    <w:p>
      <w:r>
        <w:rPr>
          <w:rFonts w:ascii="Times New Roman" w:hAnsi="Times New Roman" w:cs="Times New Roman"/>
        </w:rPr>
        <w:t>Таким образом, базовый уровень импортонезависимой АСУ ТП на объектах Газпрома уже построен. Отставание от мировых лидеров сохраняется в интеллектуальном слое — усовершенствованном управлении, цифровых двойниках и предиктивной аналитике. Именно этот слой и предлагает закрыть проект «Промысел-И».</w:t>
      </w: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3.2 Перечень предоставляемых услуг и стоимость</w:t>
      </w:r>
    </w:p>
    <w:p>
      <w:r>
        <w:rPr>
          <w:rFonts w:ascii="Times New Roman" w:hAnsi="Times New Roman" w:cs="Times New Roman"/>
        </w:rPr>
        <w:t>Коммерческая модель «Промысел-И» сочетает проектное внедрение и последующее сервисное сопровождение. Продуктовая линейка построена по модульному принципу: заказчик начинает с аудита и одного модуля, затем расширяет контур. Модули подключаются к существующей РСУ через защищённый шлюз без изменения технологической схемы и работают сначала в советующем режиме, а затем — в режиме управления уставками в пределах ограничений ПАЗ.</w:t>
      </w:r>
    </w:p>
    <w:p>
      <w:r>
        <w:rPr>
          <w:rFonts w:ascii="Times New Roman" w:hAnsi="Times New Roman" w:cs="Times New Roman"/>
        </w:rPr>
        <w:t>Перечень услуг и ориентировочная стоимость приведены в таблице 3.1.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3.1 — Перечень услуг и ориентировочная стоимость (без НДС)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819"/>
        <w:gridCol w:w="1984"/>
      </w:tblGrid>
      <w:tr>
        <w:trPr>
          <w:tblHeader/>
          <w:cantSplit/>
        </w:trP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Услуга / модуль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Содержание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Стоимость, млн руб.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А0. Аудит АСУ ТП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Обследование объекта, оценка потенциала оптимизации, техническое задание на модули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от 4,5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М1. СУУТП (APC)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Многосвязное прогнозирующее управление НТС, стабилизацией конденсата и регенерацией метанола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от 110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М2. Цифровой двойник и оптимизация ингибитора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Расчёт равновесия гидратообразования в реальном времени, адресная подача метанола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от 55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М3. Предиктивная диагностика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Контроль состояния ГПА ДКС, насосов, АВО; ремонт по фактическому состоянию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от 60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Пакет «Комплекс» (М1 + М2 + М3)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Интеллектуальный контур для действующей УКПГ (пилотная цена — 150)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от 205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Базовый ПАК РСУ / ПАЗ / СОиГ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Для нового строительства и миграции с импортных ПТС, соответствие 187-ФЗ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от 420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КТК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Компьютерный тренажёрный комплекс на цифровом двойнике установки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от 55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SLA 24/7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Сопровождение моделей, обновления, удалённый мониторинг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2,0 в месяц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/>
        </w:rPr>
        <w:t>Стоимость конкретного внедрения зависит от числа технологических ниток, состава существующей РСУ и объёма полевых работ. Ценовая политика ориентирована на окупаемость модулей для заказчика за 2–3 года за счёт экономии метанола, роста выхода стабильного конденсата и сокращения внеплановых ремонтов. Для оценки этого эффекта используется отраслевая практика оптимизации ингибирования метанолом [20].</w:t>
      </w: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3.3 Конкурентные преимущества</w:t>
      </w:r>
    </w:p>
    <w:p>
      <w:r>
        <w:rPr>
          <w:rFonts w:ascii="Times New Roman" w:hAnsi="Times New Roman" w:cs="Times New Roman"/>
        </w:rPr>
        <w:t>Для определения конкурентных преимуществ проведено сравнение «Промысел-И» с решениями зарубежных вендоров и российских разработчиков ПЛК и РСУ (таблица 3.2).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3.2 — Сравнительная характеристика «Промысел-И» и решений конкурентов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984"/>
        <w:gridCol w:w="1871"/>
        <w:gridCol w:w="2097"/>
      </w:tblGrid>
      <w:tr>
        <w:trPr>
          <w:tblHeader/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Критерий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«Промысел-И»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Yokogawa / Emerson / ABB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Российские разработчики ПЛК и РСУ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Соответствие требованию 187-ФЗ об отечественной АСУ ТП на ЗОКИИ к 2030 г. [6]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Опыт АСУ ТП на УКПГ Группы Газпром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52 УКПГ / УППГ [1]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Частично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Ограничен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Интеллектуальные модули (APC, двойник, диагностика)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В составе линейки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Зрелые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Как правило, нет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Полный комплект РСУ + ПАЗ для крупных объектов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Да (ПТС компании)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Не у всех [6]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Сервис и выезд на объект в Восточной Сибири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Собственный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Ограничен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Через партнёров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/>
        </w:rPr>
        <w:t>Проведённое сопоставление позволяет выделить четыре ключевых преимущества. Во-первых, соответствие требованиям законодательства о критической информационной инфраструктуре: зарубежные системы на значимых объектах КИИ должны быть заменены к 2030 году [6]. Во-вторых, наличие у компании собственного комплекта РСУ и ПАЗ: по оценкам отраслевых экспертов, полноценного отечественного решения для крупных систем на рынке пока немного [6]. В-третьих, референсы и доступ к объектам Группы Газпром. В-четвёртых, знание технологии подготовки газа «изнутри»: автор проекта является эксплуатационником, что позволяет формулировать требования к модулям на языке оператора, а не только разработчика.</w:t>
      </w: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3.4 Географическое расположение объекта и технические характеристики</w:t>
      </w:r>
    </w:p>
    <w:p>
      <w:r>
        <w:rPr>
          <w:rFonts w:ascii="Times New Roman" w:hAnsi="Times New Roman" w:cs="Times New Roman"/>
        </w:rPr>
        <w:t>Пилотный объект — УКПГ-2 Ковыктинского газоконденсатного месторождения. Месторождение расположено в 450 км к северо-востоку от Иркутска, на территории Жигаловского и Казачинско-Ленского районов; открыто в 1987 году, запасы газа после переоценки 2019 года составляют около 2,4 трлн м³, конденсата — 90,6 млн т, проектная мощность — 25 млрд м³ в год; климат резко континентальный, распространены многолетнемёрзлые породы [15].</w:t>
      </w:r>
    </w:p>
    <w:p>
      <w:r>
        <w:rPr>
          <w:rFonts w:ascii="Times New Roman" w:hAnsi="Times New Roman" w:cs="Times New Roman"/>
        </w:rPr>
        <w:t>УКПГ-2 — первая из четырёх установок месторождения мощностью 6,9 млрд м³ газа в год; на ней размещены центральная ДКС, установки стабилизации конденсата и регенерации метанола, принимающие продукцию остальных УКПГ [14]. Подготовка газа ведётся методом низкотемпературной сепарации [16], стабилизация конденсата — в ректификационной колонне с парциальным дефлегматором, давление насыщенных паров стабильного конденсата не должно превышать 66,7 кПа [17]. Именно сочетание НТС, стабилизации и регенерации метанола на одной площадке делает УКПГ-2 оптимальным объектом для демонстрации всех трёх модулей.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10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vyk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3.1 — Условная схема технологической цепочки УКПГ-2 и точки подключения модулей М1–М3</w:t>
      </w:r>
    </w:p>
    <w:p>
      <w:r>
        <w:rPr>
          <w:rFonts w:ascii="Times New Roman" w:hAnsi="Times New Roman" w:cs="Times New Roman"/>
        </w:rPr>
        <w:t>Архитектура системы (рисунок 3.2) предусматривает пять уровней: полевой (КИПиА, анализаторы, регулирующая арматура), уровень контроллеров РСУ и ПАЗ, уровень операторских станций, уровень ПТК диспетчерского управления и интеллектуальный уровень «Промысел-И». Интеллектуальный уровень получает данные через однонаправленный шлюз и передаёт в РСУ только уставки в пределах, разрешённых технологическим регламентом; логика ПАЗ остаётся независимой.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61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6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3.2 — Архитектура ИАСУ ТП «Промысел-И»</w:t>
      </w:r>
    </w:p>
    <w:p>
      <w:r>
        <w:rPr>
          <w:rFonts w:ascii="Times New Roman" w:hAnsi="Times New Roman" w:cs="Times New Roman"/>
        </w:rPr>
        <w:t>Интерфейс оператора модуля М1 показан на рисунке 3.3: мнемосхема нитки НТС, текущий расход метанола, отклонение температуры НТС от уставки и запас до температуры гидратообразования. Демонстрационная версия интерфейса доступна в онлайн-версии бизнес-плана: https://snarid.github.io/promysel-i-business-plan/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03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3.3 — Демонстрационный интерфейс оператора: режим работы СУУТП (условные значения)</w:t>
      </w:r>
    </w:p>
    <w:p>
      <w:r>
        <w:rPr>
          <w:rFonts w:ascii="Times New Roman" w:hAnsi="Times New Roman" w:cs="Times New Roman"/>
        </w:rPr>
        <w:t>Целевые технические показатели пилота приведены в таблице 3.3.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3.3 — Целевые показатели пилотного внедрения (оценка автора)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814"/>
        <w:gridCol w:w="4706"/>
      </w:tblGrid>
      <w:tr>
        <w:trPr>
          <w:tblHeader/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Показатель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Цель</w:t>
            </w:r>
          </w:p>
        </w:tc>
        <w:tc>
          <w:tcPr>
            <w:tcW w:type="dxa" w:w="470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За счёт чего достигается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Удельный расход метанола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−10…15%</w:t>
            </w:r>
          </w:p>
        </w:tc>
        <w:tc>
          <w:tcPr>
            <w:tcW w:type="dxa" w:w="470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М2: подача по расчётному запасу до гидратообразования вместо «запаса на всякий случай»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Колебания температуры НТС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в 2–3 раза ниже</w:t>
            </w:r>
          </w:p>
        </w:tc>
        <w:tc>
          <w:tcPr>
            <w:tcW w:type="dxa" w:w="470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М1: многосвязное управление дросселированием и рекуперацией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Внеплановые остановы ГПА ДКС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−20…30%</w:t>
            </w:r>
          </w:p>
        </w:tc>
        <w:tc>
          <w:tcPr>
            <w:tcW w:type="dxa" w:w="470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М3: ранние предупреждения по вибрации, температурам, газодинамике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Время подготовки нового оператора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−30%</w:t>
            </w:r>
          </w:p>
        </w:tc>
        <w:tc>
          <w:tcPr>
            <w:tcW w:type="dxa" w:w="470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КТК на цифровом двойнике установки</w:t>
            </w:r>
          </w:p>
        </w:tc>
      </w:tr>
    </w:tbl>
    <w:p>
      <w:pPr>
        <w:spacing w:after="0"/>
      </w:pPr>
    </w:p>
    <w:p>
      <w:pPr>
        <w:keepNext/>
        <w:pageBreakBefore/>
        <w:spacing w:before="0"/>
      </w:pPr>
      <w:r>
        <w:rPr>
          <w:rFonts w:ascii="Times New Roman" w:hAnsi="Times New Roman" w:cs="Times New Roman"/>
          <w:b/>
        </w:rPr>
        <w:t>4 МАРКЕТИНГОВЫЙ ПЛАН</w:t>
      </w: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4.1 Исследование рынка</w:t>
      </w:r>
    </w:p>
    <w:p>
      <w:r>
        <w:rPr>
          <w:rFonts w:ascii="Times New Roman" w:hAnsi="Times New Roman" w:cs="Times New Roman"/>
        </w:rPr>
        <w:t>Мировой рынок автоматизации нефтегазовой отрасли оценивается в 43,35 млрд долларов в 2025 году с ростом до 63,19 млрд долларов к 2031 году, среднегодовой темп роста — 6,48% [7]. Рост обеспечивают цифровизация действующих объектов, переход к удалённому управлению и требования к промышленной безопасности.</w:t>
      </w:r>
    </w:p>
    <w:p>
      <w:r>
        <w:rPr>
          <w:rFonts w:ascii="Times New Roman" w:hAnsi="Times New Roman" w:cs="Times New Roman"/>
        </w:rPr>
        <w:t>Российский рынок АСУ ТП растёт значительно быстрее: с 66,6 млрд руб. в 2020 году до 184,5 млрд руб. в 2025 году, то есть на 177,1%; десять ведущих компаний формируют 63,4% объёма, лидером является ПАО «Газпром автоматизация» с долей 23,1% [5]. Динамика рынка показана на рисунке 4.1.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04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4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4.1 — Объём российского рынка АСУ ТП, млрд руб. [5]</w:t>
      </w:r>
    </w:p>
    <w:p>
      <w:r>
        <w:rPr>
          <w:rFonts w:ascii="Times New Roman" w:hAnsi="Times New Roman" w:cs="Times New Roman"/>
        </w:rPr>
        <w:t>Главные драйверы спроса — замещение зарубежных систем на объектах КИИ к 2030 году и строительство новых объектов в Восточной Сибири и Арктике. Сдерживающие факторы — дефицит отечественной процессорной базы (отечественный процессор дороже зарубежного аналога примерно на 30%) и нехватка кадров [6], а также сокращение инвестиционной программы Газпрома на 2026 год до 1,1 трлн руб. [4].</w:t>
      </w:r>
    </w:p>
    <w:p>
      <w:r>
        <w:rPr>
          <w:rFonts w:ascii="Times New Roman" w:hAnsi="Times New Roman" w:cs="Times New Roman"/>
        </w:rPr>
        <w:t>Ёмкость целевого сегмента рассчитана как произведение числа объектов на среднюю стоимость внедрения (таблица 4.1).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4.1 — Оценка ёмкости целевого сегмента на 2027–2033 гг.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417"/>
        <w:gridCol w:w="1871"/>
        <w:gridCol w:w="1814"/>
      </w:tblGrid>
      <w:tr>
        <w:trPr>
          <w:tblHeader/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Сегмент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Объектов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Средний чек, млн руб.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Ёмкость, млрд руб.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Модернизация действующих УКПГ Газпрома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52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205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10,7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Новые УКПГ Газпрома (ПАК + модули)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625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6,3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Нефтяные УПН / УПСВ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150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12,0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Независимые производители, ГПЗ, СПГ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205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3,1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Сервисное сопровождение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24 в год</w:t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3,0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Итого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W w:type="dxa" w:w="187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W w:type="dxa" w:w="181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4"/>
              </w:rPr>
              <w:t>35,1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/>
        </w:rPr>
        <w:t>Плановая выручка проекта за 2027–2033 годы составляет 9,6 млрд руб., то есть около 27% ёмкости целевого сегмента, что соответствует текущей доле компании на рынке АСУ ТП с учётом новизны продукта.</w:t>
      </w: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4.2 Сегментация рынка</w:t>
      </w:r>
    </w:p>
    <w:p>
      <w:r>
        <w:rPr>
          <w:rFonts w:ascii="Times New Roman" w:hAnsi="Times New Roman" w:cs="Times New Roman"/>
        </w:rPr>
        <w:t>Потребители сегментированы по типу заказчика. Характеристика сегментов приведена в таблице 4.2.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4.2 — Характеристика сегментов потребителей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2097"/>
        <w:gridCol w:w="1474"/>
        <w:gridCol w:w="1530"/>
        <w:gridCol w:w="1247"/>
        <w:gridCol w:w="1304"/>
        <w:gridCol w:w="1701"/>
      </w:tblGrid>
      <w:tr>
        <w:trPr>
          <w:tblHeader/>
          <w:cantSplit/>
        </w:trPr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  <w:tl2br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</w:r>
            <w:r>
              <w:rPr>
                <w:rFonts w:ascii="Times New Roman" w:hAnsi="Times New Roman" w:cs="Times New Roman"/>
                <w:b/>
                <w:sz w:val="22"/>
              </w:rPr>
              <w:t>критерии</w:t>
            </w:r>
          </w:p>
          <w:p>
            <w:pPr>
              <w:spacing w:after="0" w:before="280"/>
              <w:ind w:firstLine="0"/>
            </w:pPr>
            <w:r>
              <w:rPr>
                <w:rFonts w:ascii="Times New Roman" w:hAnsi="Times New Roman" w:cs="Times New Roman"/>
                <w:b/>
                <w:sz w:val="22"/>
              </w:rPr>
              <w:t>сегменты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Платёже­способность</w:t>
            </w:r>
          </w:p>
        </w:tc>
        <w:tc>
          <w:tcPr>
            <w:tcW w:type="dxa" w:w="15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Цикл сделки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Число объектов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Доп. услуги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Ключевая потребность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1 сегмент (основной): газодобывающие общества Группы Газпром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Высокая, бюджет инвест­программы</w:t>
            </w:r>
          </w:p>
        </w:tc>
        <w:tc>
          <w:tcPr>
            <w:tcW w:type="dxa" w:w="15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Ежегодно, 9–14 месяцев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50+ УКПГ и УППГ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Часто: сервис, КТК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Экономия метанола, надёжность ДКС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2 сегмент: нефтяные компании (УПН, УПСВ, УКПГ ПНГ)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Высокая</w:t>
            </w:r>
          </w:p>
        </w:tc>
        <w:tc>
          <w:tcPr>
            <w:tcW w:type="dxa" w:w="15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Раз в 1–2 года, 12–18 месяцев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≈80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Иногда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Замена ПО по 187-ФЗ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3 сегмент: независимые производители газа, ГПЗ, СПГ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Высокая</w:t>
            </w:r>
          </w:p>
        </w:tc>
        <w:tc>
          <w:tcPr>
            <w:tcW w:type="dxa" w:w="15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Разовые проекты, 12+ месяцев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≈15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Иногда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Полный ПАК под ключ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4 сегмент: зарубежные заказчики ЕАЭС и СНГ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Средняя</w:t>
            </w:r>
          </w:p>
        </w:tc>
        <w:tc>
          <w:tcPr>
            <w:tcW w:type="dxa" w:w="15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Единичные, 18–24 месяца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1–3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Часто: обучение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Модернизация советских УКПГ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/>
        </w:rPr>
        <w:t>К 1 сегменту потребителей относятся газодобывающие дочерние общества ПАО «Газпром» — в первую очередь ООО «Газпром добыча Иркутск», ООО «Газпром добыча Ноябрьск» (Чаяндинское НГКМ), ООО «Газпром добыча Надым» и ООО «Газпром добыча Ямбург». На их объектах уже работают системы компании, поэтому интеллектуальные модули подключаются к знакомой заказчику РСУ. Закупки планируются в рамках ежегодных инвестиционных и ремонтных программ; потребители этого сегмента часто приобретают сервисное сопровождение и тренажёрные комплексы для вахтового персонала.</w:t>
      </w:r>
    </w:p>
    <w:p>
      <w:r>
        <w:rPr>
          <w:rFonts w:ascii="Times New Roman" w:hAnsi="Times New Roman" w:cs="Times New Roman"/>
        </w:rPr>
        <w:t>2-й сегмент представляет собой нефтяные компании, эксплуатирующие установки подготовки нефти, предварительного сброса воды и подготовки попутного газа. Их основной мотив — выполнение требований 187-ФЗ по замене зарубежных систем на значимых объектах КИИ к 2030 году [6]. Решения о закупке принимаются реже и дольше, однако число объектов в зоне досягаемости велико.</w:t>
      </w:r>
    </w:p>
    <w:p>
      <w:r>
        <w:rPr>
          <w:rFonts w:ascii="Times New Roman" w:hAnsi="Times New Roman" w:cs="Times New Roman"/>
        </w:rPr>
        <w:t>3-й сегмент — независимые производители газа, газоперерабатывающие заводы и проекты СПГ, которым нужен полный программно-аппаратный комплекс «под ключ». Это разовые, но крупные проекты, в которых компания выступает в паре с EPC-подрядчиками [2].</w:t>
      </w:r>
    </w:p>
    <w:p>
      <w:r>
        <w:rPr>
          <w:rFonts w:ascii="Times New Roman" w:hAnsi="Times New Roman" w:cs="Times New Roman"/>
        </w:rPr>
        <w:t>4-й сегмент — заказчики стран ЕАЭС и СНГ, эксплуатирующие установки подготовки газа советской постройки. Платёжеспособность ниже, цикл сделки длиннее, поэтому сегмент рассматривается как дополнительный после 2030 года.</w:t>
      </w: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4.3 Продвижение продукта и проведение мероприятий по выходу на рынок</w:t>
      </w:r>
    </w:p>
    <w:p>
      <w:r>
        <w:rPr>
          <w:rFonts w:ascii="Times New Roman" w:hAnsi="Times New Roman" w:cs="Times New Roman"/>
        </w:rPr>
        <w:t>Продвижение строится по модели B2B: решения принимают главные инженеры, технологические службы и службы автоматизации добывающих обществ, поэтому основными каналами являются отраслевые выставки, технические публикации, демонстрации на стенде и референс пилотного внедрения. Средства для продвижения продукта в первый год приведены в таблице 4.3.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4.3 — Средства для продвижения продукта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2154"/>
        <w:gridCol w:w="2097"/>
      </w:tblGrid>
      <w:tr>
        <w:trPr>
          <w:tblHeader/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Средства рекламы</w:t>
            </w:r>
          </w:p>
        </w:tc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Время действия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Цена (руб.)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Продвижение до выхода на рынок:</w:t>
            </w:r>
          </w:p>
        </w:tc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4"/>
              </w:rPr>
              <w:t>Итого: 18 000 000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Демонстрационный стенд «Промысел-И» с цифровым двойником НТС</w:t>
            </w:r>
          </w:p>
        </w:tc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01.04.27–30.09.27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4 200 000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Стенд на выставке «Нефтегаз-2027» (Москва)</w:t>
            </w:r>
          </w:p>
        </w:tc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13.04.27–16.04.27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3 800 000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Участие в конференции SMART OIL &amp; GAS с докладом</w:t>
            </w:r>
          </w:p>
        </w:tc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01.09.27–30.09.27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900 000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Стенд на ПМГФ-2027 (Санкт-Петербург)</w:t>
            </w:r>
          </w:p>
        </w:tc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01.10.27–31.10.27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3 500 000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Публикации в журналах «Газовая промышленность» и «Автоматизация в промышленности»</w:t>
            </w:r>
          </w:p>
        </w:tc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01.06.27–31.12.27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1 200 000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Цикл вебинаров для технологов добывающих обществ</w:t>
            </w:r>
          </w:p>
        </w:tc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01.05.27–31.12.27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600 000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Отраслевая конференция в Иркутске для обществ Восточной Сибири</w:t>
            </w:r>
          </w:p>
        </w:tc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01.11.27–30.11.27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1 800 000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Видеоролики, презентации, сайт продукта</w:t>
            </w:r>
          </w:p>
        </w:tc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01.03.27–31.12.27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1 300 000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Ведение и популяризация Telegram-канала продукта</w:t>
            </w:r>
          </w:p>
        </w:tc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01.03.27–31.12.27</w:t>
            </w:r>
          </w:p>
        </w:tc>
        <w:tc>
          <w:tcPr>
            <w:tcW w:type="dxa" w:w="209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700 000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Times New Roman" w:hAnsi="Times New Roman" w:cs="Times New Roman"/>
          <w:b/>
          <w:i/>
        </w:rPr>
        <w:t>Мероприятия по выходу на рынок:</w:t>
      </w:r>
    </w:p>
    <w:p>
      <w:r>
        <w:rPr>
          <w:rFonts w:ascii="Times New Roman" w:hAnsi="Times New Roman" w:cs="Times New Roman"/>
        </w:rPr>
        <w:t>1. Разработка бизнес-плана и стратегии продукта, защита на научно-техническом совете компании (01.11.26–29.01.27).</w:t>
      </w:r>
    </w:p>
    <w:p>
      <w:r>
        <w:rPr>
          <w:rFonts w:ascii="Times New Roman" w:hAnsi="Times New Roman" w:cs="Times New Roman"/>
        </w:rPr>
        <w:t>2. Формирование проектного офиса «Промысел-И», найм ключевой команды (01.02.27–30.04.27).</w:t>
      </w:r>
    </w:p>
    <w:p>
      <w:r>
        <w:rPr>
          <w:rFonts w:ascii="Times New Roman" w:hAnsi="Times New Roman" w:cs="Times New Roman"/>
        </w:rPr>
        <w:t>3. НИОКР: цифровой двойник НТС, установок стабилизации конденсата и регенерации метанола, ядро СУУТП, модуль диагностики (01.03.27–31.03.28).</w:t>
      </w:r>
    </w:p>
    <w:p>
      <w:r>
        <w:rPr>
          <w:rFonts w:ascii="Times New Roman" w:hAnsi="Times New Roman" w:cs="Times New Roman"/>
        </w:rPr>
        <w:t>4. Создание испытательного стенда, интеграция с ПТК «Поток-ДУ» и «Горизонт» (01.04.27–30.09.27).</w:t>
      </w:r>
    </w:p>
    <w:p>
      <w:r>
        <w:rPr>
          <w:rFonts w:ascii="Times New Roman" w:hAnsi="Times New Roman" w:cs="Times New Roman"/>
        </w:rPr>
        <w:t>5. Заключение договора на пилот с ООО «Газпром добыча Иркутск», аудит УКПГ-2 (01.06.27–30.11.27).</w:t>
      </w:r>
    </w:p>
    <w:p>
      <w:r>
        <w:rPr>
          <w:rFonts w:ascii="Times New Roman" w:hAnsi="Times New Roman" w:cs="Times New Roman"/>
        </w:rPr>
        <w:t>6. Работа модулей в советующем режиме на УКПГ-2 (01.04.28–30.09.28).</w:t>
      </w:r>
    </w:p>
    <w:p>
      <w:r>
        <w:rPr>
          <w:rFonts w:ascii="Times New Roman" w:hAnsi="Times New Roman" w:cs="Times New Roman"/>
        </w:rPr>
        <w:t>7. Приёмочные испытания, акт эффективности, сертификация средств защиты информации (01.10.28–31.12.28).</w:t>
      </w:r>
    </w:p>
    <w:p>
      <w:r>
        <w:rPr>
          <w:rFonts w:ascii="Times New Roman" w:hAnsi="Times New Roman" w:cs="Times New Roman"/>
        </w:rPr>
        <w:t>8. Тиражирование: УКПГ Ковыктинского и Чаяндинского месторождений, выход во 2-й сегмент (с 01.2029).</w:t>
      </w:r>
    </w:p>
    <w:p>
      <w:pPr>
        <w:keepNext/>
        <w:pageBreakBefore/>
        <w:spacing w:before="0"/>
      </w:pPr>
      <w:r>
        <w:rPr>
          <w:rFonts w:ascii="Times New Roman" w:hAnsi="Times New Roman" w:cs="Times New Roman"/>
          <w:b/>
        </w:rPr>
        <w:t>5 ОРГАНИЗАЦИОННЫЙ ПЛАН</w:t>
      </w:r>
    </w:p>
    <w:p>
      <w:r>
        <w:rPr>
          <w:rFonts w:ascii="Times New Roman" w:hAnsi="Times New Roman" w:cs="Times New Roman"/>
        </w:rPr>
        <w:t>Проект реализуется в форме проектного офиса внутри ПАО «Газпром автоматизация» без создания отдельного юридического лица. Это позволяет использовать производственную базу, сертификаты, лицензии и действующие договорные отношения компании с обществами Группы Газпром. Руководитель проектного офиса подчиняется заместителю генерального директора по развитию; к работам привлекаются профильные подразделения компании и научные партнёры — МГТУ им. Н. Э. Баумана и РГУ нефти и газа им. И. М. Губкина [2].</w:t>
      </w:r>
    </w:p>
    <w:p>
      <w:r>
        <w:rPr>
          <w:rFonts w:ascii="Times New Roman" w:hAnsi="Times New Roman" w:cs="Times New Roman"/>
        </w:rPr>
        <w:t>Состав проектной команды на старте и в период тиражирования приведён в таблице 5.1. Среднегодовые затраты на одного сотрудника с учётом страховых взносов приняты 3,9 млн руб.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5.1 — Структура проектной команды, чел.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402"/>
        <w:gridCol w:w="963"/>
        <w:gridCol w:w="963"/>
        <w:gridCol w:w="1077"/>
      </w:tblGrid>
      <w:tr>
        <w:trPr>
          <w:tblHeader/>
          <w:cantSplit/>
        </w:trPr>
        <w:tc>
          <w:tcPr>
            <w:tcW w:type="dxa" w:w="29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Роль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Функции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2027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2030</w:t>
            </w:r>
          </w:p>
        </w:tc>
        <w:tc>
          <w:tcPr>
            <w:tcW w:type="dxa" w:w="107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2033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Руководитель проекта, владелец продукта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Стратегия, бюджет, отношения с заказчиками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type="dxa" w:w="107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Инженеры-технологи подготовки газа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Постановка задач, расчёт эффектов, ПСИ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type="dxa" w:w="107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Разработчики моделей и APC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Цифровые двойники, СУУТП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type="dxa" w:w="107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17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Программисты платформы и HMI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Ядро, интерфейсы, интеграция с РСУ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type="dxa" w:w="107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13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Специалисты по информационной безопасности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Шлюзы, сертификация СЗИ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type="dxa" w:w="107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Инженеры внедрения и сервиса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Пусконаладка, SLA 24/7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type="dxa" w:w="107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Продажи и маркетинг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Продвижение, тендеры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type="dxa" w:w="107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Итого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4"/>
              </w:rPr>
              <w:t>26</w:t>
            </w:r>
          </w:p>
        </w:tc>
        <w:tc>
          <w:tcPr>
            <w:tcW w:type="dxa" w:w="96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4"/>
              </w:rPr>
              <w:t>54</w:t>
            </w:r>
          </w:p>
        </w:tc>
        <w:tc>
          <w:tcPr>
            <w:tcW w:type="dxa" w:w="107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4"/>
              </w:rPr>
              <w:t>66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/>
        </w:rPr>
        <w:t>Ключевое требование к команде — сочетание компетенций технолога и автоматизатора. Для этого в проект привлекаются специалисты-эксплуатационники добывающих обществ, а для молодых сотрудников организуются стажировки на УКПГ-2 Ковыктинского ГКМ.</w:t>
      </w:r>
    </w:p>
    <w:p>
      <w:pPr>
        <w:keepNext/>
        <w:pageBreakBefore/>
        <w:spacing w:before="0"/>
      </w:pPr>
      <w:r>
        <w:rPr>
          <w:rFonts w:ascii="Times New Roman" w:hAnsi="Times New Roman" w:cs="Times New Roman"/>
          <w:b/>
        </w:rPr>
        <w:t>6 ПРОИЗВОДСТВЕННЫЙ (КАЛЕНДАРНЫЙ) ПЛАН</w:t>
      </w:r>
    </w:p>
    <w:p>
      <w:r>
        <w:rPr>
          <w:rFonts w:ascii="Times New Roman" w:hAnsi="Times New Roman" w:cs="Times New Roman"/>
        </w:rPr>
        <w:t>Производственный план описывает последовательность работ от НИОКР до серийного тиражирования (таблица 6.1). Аппаратная часть базового ПАК изготавливается на производственных площадках ПАО «Газпром автоматизация»; интеллектуальные модули являются программным продуктом и тиражируются с адаптацией моделей под конкретный объект.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6.1 — Календарный план реализации проекта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3118"/>
      </w:tblGrid>
      <w:tr>
        <w:trPr>
          <w:tblHeader/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Этап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Срок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Подготовка и защита бизнес-плана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ноябрь 2026 — январь 2027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Решение НТС, бюджет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Формирование команды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февраль — апрель 2027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26 сотрудников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НИОКР модулей М1–М3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март 2027 — март 2028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Версия 1.0 модулей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Испытательный стенд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апрель — сентябрь 2027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Стенд с ПТК «Поток-ДУ», «Горизонт»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Аудит и договор на пилот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июнь — ноябрь 2027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Договор с ООО «Газпром добыча Иркутск»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Пилот в советующем режиме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апрель — сентябрь 2028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Подтверждение эффектов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Приёмочные испытания, сертификация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октябрь — декабрь 2028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Акт эффективности, сертификат СЗИ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Тиражирование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2029–2033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30 объектов к 2033 г.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/>
        </w:rPr>
        <w:t>Плановое число внедрений по годам приведено в таблице 6.2.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6.2 — Производственная программа, количество внедрений</w:t>
      </w:r>
    </w:p>
    <w:tbl>
      <w:tblPr>
        <w:tblW w:w="9361" w:type="dxa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924"/>
        <w:gridCol w:w="924"/>
        <w:gridCol w:w="924"/>
        <w:gridCol w:w="924"/>
        <w:gridCol w:w="924"/>
        <w:gridCol w:w="924"/>
        <w:gridCol w:w="924"/>
      </w:tblGrid>
      <w:tr>
        <w:trPr>
          <w:tblHeader/>
          <w:cantSplit/>
        </w:trPr>
        <w:tc>
          <w:tcPr>
            <w:tcW w:type="dxa" w:w="289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Показатель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2027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2028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2029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2030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2031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2032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Пакет «Комплекс»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Базовый ПАК РСУ/ПАЗ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Аудиты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9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10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КТК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Объектов на сервисе (на конец года)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14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22</w:t>
            </w:r>
          </w:p>
        </w:tc>
        <w:tc>
          <w:tcPr>
            <w:tcW w:type="dxa" w:w="9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30</w:t>
            </w:r>
          </w:p>
        </w:tc>
      </w:tr>
    </w:tbl>
    <w:p>
      <w:pPr>
        <w:spacing w:after="0"/>
      </w:pPr>
    </w:p>
    <w:p>
      <w:pPr>
        <w:keepNext/>
        <w:pageBreakBefore/>
        <w:spacing w:before="0"/>
      </w:pPr>
      <w:r>
        <w:rPr>
          <w:rFonts w:ascii="Times New Roman" w:hAnsi="Times New Roman" w:cs="Times New Roman"/>
          <w:b/>
        </w:rPr>
        <w:t>7 ФИНАНСОВЫЙ ПЛАН</w:t>
      </w:r>
    </w:p>
    <w:p>
      <w:r>
        <w:rPr>
          <w:rFonts w:ascii="Times New Roman" w:hAnsi="Times New Roman" w:cs="Times New Roman"/>
        </w:rPr>
        <w:t>Финансовая модель построена на горизонте 2027–2033 годов в постоянных ценах без НДС. Ставка дисконтирования принята 20%: ключевая ставка Банка России 14% [18] плюс 6 процентных пунктов премии за риск нового продукта. Налог на прибыль — 25%; амортизация инвестиций — линейная, 5 лет; перенос убытков в упрощённой модели не учитывается.</w:t>
      </w: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7.1 Инвестиционные затраты</w:t>
      </w:r>
    </w:p>
    <w:p>
      <w:r>
        <w:rPr>
          <w:rFonts w:ascii="Times New Roman" w:hAnsi="Times New Roman" w:cs="Times New Roman"/>
        </w:rPr>
        <w:t>Основной объём инвестиций приходится на 2027–2028 годы — период НИОКР и пилота (таблица 7.1). В последующие годы инвестиции направляются на развитие платформы.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7.1 — Инвестиционные затраты, млн руб.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4139"/>
        <w:gridCol w:w="1134"/>
        <w:gridCol w:w="1134"/>
        <w:gridCol w:w="1474"/>
        <w:gridCol w:w="1474"/>
      </w:tblGrid>
      <w:tr>
        <w:trPr>
          <w:tblHeader/>
          <w:cantSplit/>
        </w:trPr>
        <w:tc>
          <w:tcPr>
            <w:tcW w:type="dxa" w:w="41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Статья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2027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2028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2029–2033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Итого</w:t>
            </w:r>
          </w:p>
        </w:tc>
      </w:tr>
      <w:tr>
        <w:trPr>
          <w:cantSplit/>
        </w:trPr>
        <w:tc>
          <w:tcPr>
            <w:tcW w:type="dxa" w:w="41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НИОКР (модели, ядро СУУТП, диагностика)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150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70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220</w:t>
            </w:r>
          </w:p>
        </w:tc>
      </w:tr>
      <w:tr>
        <w:trPr>
          <w:cantSplit/>
        </w:trPr>
        <w:tc>
          <w:tcPr>
            <w:tcW w:type="dxa" w:w="41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Испытательный стенд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85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85</w:t>
            </w:r>
          </w:p>
        </w:tc>
      </w:tr>
      <w:tr>
        <w:trPr>
          <w:cantSplit/>
        </w:trPr>
        <w:tc>
          <w:tcPr>
            <w:tcW w:type="dxa" w:w="41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ИТ-инфраструктура и лицензии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</w:tr>
      <w:tr>
        <w:trPr>
          <w:cantSplit/>
        </w:trPr>
        <w:tc>
          <w:tcPr>
            <w:tcW w:type="dxa" w:w="41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Оборудование пилотного объекта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60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60</w:t>
            </w:r>
          </w:p>
        </w:tc>
      </w:tr>
      <w:tr>
        <w:trPr>
          <w:cantSplit/>
        </w:trPr>
        <w:tc>
          <w:tcPr>
            <w:tcW w:type="dxa" w:w="41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Сертификация СЗИ и испытания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45</w:t>
            </w:r>
          </w:p>
        </w:tc>
      </w:tr>
      <w:tr>
        <w:trPr>
          <w:cantSplit/>
        </w:trPr>
        <w:tc>
          <w:tcPr>
            <w:tcW w:type="dxa" w:w="41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Прочие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30</w:t>
            </w:r>
          </w:p>
        </w:tc>
      </w:tr>
      <w:tr>
        <w:trPr>
          <w:cantSplit/>
        </w:trPr>
        <w:tc>
          <w:tcPr>
            <w:tcW w:type="dxa" w:w="41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</w:rPr>
              <w:t>Развитие платформы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230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230</w:t>
            </w:r>
          </w:p>
        </w:tc>
      </w:tr>
      <w:tr>
        <w:trPr>
          <w:cantSplit/>
        </w:trPr>
        <w:tc>
          <w:tcPr>
            <w:tcW w:type="dxa" w:w="41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Итого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4"/>
              </w:rPr>
              <w:t>310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4"/>
              </w:rPr>
              <w:t>170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4"/>
              </w:rPr>
              <w:t>230</w:t>
            </w:r>
          </w:p>
        </w:tc>
        <w:tc>
          <w:tcPr>
            <w:tcW w:type="dxa" w:w="147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4"/>
              </w:rPr>
              <w:t>710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/>
        </w:rPr>
        <w:t>Источник финансирования — собственные средства ПАО «Газпром автоматизация». Привлечение заёмных средств не планируется.</w:t>
      </w: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7.2 План выручки</w:t>
      </w:r>
    </w:p>
    <w:p>
      <w:r>
        <w:rPr>
          <w:rFonts w:ascii="Times New Roman" w:hAnsi="Times New Roman" w:cs="Times New Roman"/>
        </w:rPr>
        <w:t>Выручка формируется из пяти направлений: пакеты интеллектуальных модулей, базовые ПАК, аудиты, тренажёрные комплексы и сервисное сопровождение (таблица 7.2, рисунок 7.1). Цена пакета «Комплекс» растёт с пилотных 150 млн руб. до 225 млн руб. к 2033 году по мере расширения функциональности.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7.2 — План выручки, млн руб.</w:t>
      </w:r>
    </w:p>
    <w:tbl>
      <w:tblPr>
        <w:tblW w:w="9338" w:type="dxa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026"/>
        <w:gridCol w:w="1026"/>
        <w:gridCol w:w="1026"/>
        <w:gridCol w:w="1026"/>
        <w:gridCol w:w="1026"/>
        <w:gridCol w:w="1026"/>
        <w:gridCol w:w="1026"/>
      </w:tblGrid>
      <w:tr>
        <w:trPr>
          <w:tblHeader/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Направление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2027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2029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2031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2033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Пакеты модулей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150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410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840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1 075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1 320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1 350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Базовый ПАК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420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420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840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840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Аудиты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9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27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45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КТК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55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110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110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165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165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Сервис SLA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24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72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192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336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528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Итого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9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168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516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1 478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1 838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2 706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2 928</w:t>
            </w:r>
          </w:p>
        </w:tc>
      </w:tr>
    </w:tbl>
    <w:p>
      <w:pPr>
        <w:spacing w:after="0"/>
      </w:pP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3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3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7.1 — Структура выручки по направлениям, млн руб.</w:t>
      </w: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7.3 Текущие затраты</w:t>
      </w:r>
    </w:p>
    <w:p>
      <w:r>
        <w:rPr>
          <w:rFonts w:ascii="Times New Roman" w:hAnsi="Times New Roman" w:cs="Times New Roman"/>
        </w:rPr>
        <w:t>Переменные затраты (оборудование, субподряд, командировки на объект) приняты в доле от выручки: 34% — для модулей, 62% — для ПАК, 30% — для аудитов, 40% — для КТК, 35% — для сервиса. Постоянные затраты включают фонд оплаты труда, накладные расходы и маркетинг (таблица 7.3).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7.3 — Текущие затраты, млн руб.</w:t>
      </w:r>
    </w:p>
    <w:tbl>
      <w:tblPr>
        <w:tblW w:w="9338" w:type="dxa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026"/>
        <w:gridCol w:w="1026"/>
        <w:gridCol w:w="1026"/>
        <w:gridCol w:w="1026"/>
        <w:gridCol w:w="1026"/>
        <w:gridCol w:w="1026"/>
        <w:gridCol w:w="1026"/>
      </w:tblGrid>
      <w:tr>
        <w:trPr>
          <w:tblHeader/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Статья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2027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2029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2031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2033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Переменные затраты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56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178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626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749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1 167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1 244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ФОТ с взносами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101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140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179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211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234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250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257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Накладные и прочие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55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70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80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90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95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100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Маркетинг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32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Амортизация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62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96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104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113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122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70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46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Итого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229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370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557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1 058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1 225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1 611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1 680</w:t>
            </w:r>
          </w:p>
        </w:tc>
      </w:tr>
    </w:tbl>
    <w:p>
      <w:pPr>
        <w:spacing w:after="0"/>
      </w:pP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7.4 Денежные потоки и показатели эффективности</w:t>
      </w:r>
    </w:p>
    <w:p>
      <w:r>
        <w:rPr>
          <w:rFonts w:ascii="Times New Roman" w:hAnsi="Times New Roman" w:cs="Times New Roman"/>
        </w:rPr>
        <w:t>Расчёт денежных потоков приведён в таблице 7.4 и на рисунке 7.2.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7.4 — Денежные потоки проекта, млн руб.</w:t>
      </w:r>
    </w:p>
    <w:tbl>
      <w:tblPr>
        <w:tblW w:w="9338" w:type="dxa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026"/>
        <w:gridCol w:w="1026"/>
        <w:gridCol w:w="1026"/>
        <w:gridCol w:w="1026"/>
        <w:gridCol w:w="1026"/>
        <w:gridCol w:w="1026"/>
        <w:gridCol w:w="1026"/>
      </w:tblGrid>
      <w:tr>
        <w:trPr>
          <w:tblHeader/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Показатель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2027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2029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2031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2033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Выручка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9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168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516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1 478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1 838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2 706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2 928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EBITDA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−158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−106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63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533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734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1 165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1 294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Чистая прибыль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−220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−202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−41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315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459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821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936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Инвестиции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310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170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45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50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50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Чистый денежный поток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−468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−276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23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383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536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841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932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Накопленный ДП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−468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−744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−721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−338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198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1 039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1 972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Дисконтированный ДП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−390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−192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13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185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215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282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>260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Накопленный ДДП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−390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−582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−568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−384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−168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114</w:t>
            </w:r>
          </w:p>
        </w:tc>
        <w:tc>
          <w:tcPr>
            <w:tcW w:type="dxa" w:w="102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b/>
                <w:sz w:val="22"/>
              </w:rPr>
              <w:t>374</w:t>
            </w:r>
          </w:p>
        </w:tc>
      </w:tr>
    </w:tbl>
    <w:p>
      <w:pPr>
        <w:spacing w:after="0"/>
      </w:pP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82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2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7.2 — Денежные потоки проекта, млн руб.</w:t>
      </w:r>
    </w:p>
    <w:p>
      <w:r>
        <w:rPr>
          <w:rFonts w:ascii="Times New Roman" w:hAnsi="Times New Roman" w:cs="Times New Roman"/>
        </w:rPr>
        <w:t>Проект выходит на положительный годовой денежный поток в 2029 году, накопленный денежный поток становится положительным в 2031 году. Показатели эффективности: NPV — 374 млн руб., IRR — 34,9%, PI — 1,64, простой срок окупаемости — 4,6 года, дисконтированный — 5,6 года. IRR превышает ставку дисконтирования на 14,9 п. п., что подтверждает экономическую целесообразность проекта.</w:t>
      </w:r>
    </w:p>
    <w:p>
      <w:pPr>
        <w:keepNext/>
        <w:spacing w:before="240"/>
      </w:pPr>
      <w:r>
        <w:rPr>
          <w:rFonts w:ascii="Times New Roman" w:hAnsi="Times New Roman" w:cs="Times New Roman"/>
          <w:b/>
        </w:rPr>
        <w:t>7.5 Анализ чувствительности</w:t>
      </w:r>
    </w:p>
    <w:p>
      <w:r>
        <w:rPr>
          <w:rFonts w:ascii="Times New Roman" w:hAnsi="Times New Roman" w:cs="Times New Roman"/>
        </w:rPr>
        <w:t>Устойчивость проекта проверена к изменению ключевых параметров (таблица 7.5). Интерактивный расчёт чувствительности доступен в онлайн-версии бизнес-плана.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7.5 — Анализ чувствительности показателей проекта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Сценарий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NPV, млн руб.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IRR, %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DPP, лет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Базовый сценарий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374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34,9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5,6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Выручка −15%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126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25,4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6,4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Инвестиции +20%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287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30,6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5,9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Ставка дисконтирования 25%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209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34,9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5,9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Задержка выручки на 1 год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−248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10,3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&gt; 7 лет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/>
        </w:rPr>
        <w:t>Проект сохраняет положительный NPV при снижении выручки на 15%, росте инвестиций на 20% и повышении ставки дисконтирования до 25%. Наиболее чувствителен проект к сроку выхода на рынок: задержка выручки на один год делает NPV отрицательным в пределах семилетнего горизонта. Поэтому главная управленческая задача — соблюсти сроки пилота на УКПГ-2 и получить акт эффективности до конца 2028 года.</w:t>
      </w:r>
    </w:p>
    <w:p>
      <w:pPr>
        <w:keepNext/>
        <w:pageBreakBefore/>
        <w:spacing w:before="0"/>
      </w:pPr>
      <w:r>
        <w:rPr>
          <w:rFonts w:ascii="Times New Roman" w:hAnsi="Times New Roman" w:cs="Times New Roman"/>
          <w:b/>
        </w:rPr>
        <w:t>8 ОЦЕНКА РИСКОВ</w:t>
      </w:r>
    </w:p>
    <w:p>
      <w:r>
        <w:rPr>
          <w:rFonts w:ascii="Times New Roman" w:hAnsi="Times New Roman" w:cs="Times New Roman"/>
        </w:rPr>
        <w:t>Основные риски проекта и меры по их снижению приведены в таблице 8.1.</w:t>
      </w:r>
    </w:p>
    <w:p>
      <w:pPr>
        <w:keepNext/>
        <w:spacing w:after="80"/>
        <w:ind w:firstLine="0"/>
      </w:pPr>
      <w:r>
        <w:rPr>
          <w:rFonts w:ascii="Times New Roman" w:hAnsi="Times New Roman" w:cs="Times New Roman"/>
          <w:i/>
        </w:rPr>
        <w:t>Таблица 8.1 — Оценка рисков проекта</w:t>
      </w:r>
    </w:p>
    <w:tbl>
      <w:tblPr>
        <w:tblW w:w="9355" w:type="dxa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644"/>
        <w:gridCol w:w="1701"/>
        <w:gridCol w:w="3175"/>
      </w:tblGrid>
      <w:tr>
        <w:trPr>
          <w:tblHeader/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Риск</w:t>
            </w:r>
          </w:p>
        </w:tc>
        <w:tc>
          <w:tcPr>
            <w:tcW w:type="dxa" w:w="16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Вероятность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Последствия</w:t>
            </w:r>
          </w:p>
        </w:tc>
        <w:tc>
          <w:tcPr>
            <w:tcW w:type="dxa" w:w="317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sz w:val="22"/>
              </w:rPr>
              <w:t>Меры снижения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Сокращение инвестиционной программы Газпрома: на 2026 г. утверждено 1,1 трлн руб., на 515 млрд руб. меньше 2025 г. [4]</w:t>
            </w:r>
          </w:p>
        </w:tc>
        <w:tc>
          <w:tcPr>
            <w:tcW w:type="dxa" w:w="16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Средняя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Перенос закупок</w:t>
            </w:r>
          </w:p>
        </w:tc>
        <w:tc>
          <w:tcPr>
            <w:tcW w:type="dxa" w:w="317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Упор на модернизацию действующих УКПГ (эффект в операционных затратах), выход в сегменты 2–3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Дефицит отечественной процессорной базы, удорожание компонентов (≈30%) [6]</w:t>
            </w:r>
          </w:p>
        </w:tc>
        <w:tc>
          <w:tcPr>
            <w:tcW w:type="dxa" w:w="16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Средняя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Рост себестоимости ПАК</w:t>
            </w:r>
          </w:p>
        </w:tc>
        <w:tc>
          <w:tcPr>
            <w:tcW w:type="dxa" w:w="317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Интеллектуальный контур — серверное ПО; ПТС — собственного производства компании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Нехватка кадров на стыке технологии и автоматизации [6]</w:t>
            </w:r>
          </w:p>
        </w:tc>
        <w:tc>
          <w:tcPr>
            <w:tcW w:type="dxa" w:w="16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Средняя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Срыв сроков НИОКР</w:t>
            </w:r>
          </w:p>
        </w:tc>
        <w:tc>
          <w:tcPr>
            <w:tcW w:type="dxa" w:w="317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Привлечение эксплуатационников, кооперация с РГУ нефти и газа и МГТУ им. Н. Э. Баумана [2]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Недостижение целевого эффекта на пилоте</w:t>
            </w:r>
          </w:p>
        </w:tc>
        <w:tc>
          <w:tcPr>
            <w:tcW w:type="dxa" w:w="16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Низкая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Потеря референса</w:t>
            </w:r>
          </w:p>
        </w:tc>
        <w:tc>
          <w:tcPr>
            <w:tcW w:type="dxa" w:w="317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Советующий режим, поэтапное включение контуров, независимая оценка эффекта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Задержка пилота на 1 год</w:t>
            </w:r>
          </w:p>
        </w:tc>
        <w:tc>
          <w:tcPr>
            <w:tcW w:type="dxa" w:w="16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Средняя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NPV становится отрицательным</w:t>
            </w:r>
          </w:p>
        </w:tc>
        <w:tc>
          <w:tcPr>
            <w:tcW w:type="dxa" w:w="317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Параллельные НИОКР и стенд, ранний аудит УКПГ-2, резерв по срокам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Киберугрозы для объектов КИИ</w:t>
            </w:r>
          </w:p>
        </w:tc>
        <w:tc>
          <w:tcPr>
            <w:tcW w:type="dxa" w:w="16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Средняя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Отказ заказчика от подключения</w:t>
            </w:r>
          </w:p>
        </w:tc>
        <w:tc>
          <w:tcPr>
            <w:tcW w:type="dxa" w:w="317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>Однонаправленные шлюзы, сертифицированные СЗИ, раздельные контуры с ПАЗ</w:t>
            </w:r>
          </w:p>
        </w:tc>
      </w:tr>
    </w:tbl>
    <w:p>
      <w:pPr>
        <w:spacing w:after="0"/>
      </w:pPr>
    </w:p>
    <w:p>
      <w:pPr>
        <w:keepNext/>
        <w:pageBreakBefore/>
        <w:spacing w:before="0"/>
      </w:pPr>
      <w:r>
        <w:rPr>
          <w:rFonts w:ascii="Times New Roman" w:hAnsi="Times New Roman" w:cs="Times New Roman"/>
          <w:b/>
        </w:rPr>
        <w:t>ЗАКЛЮЧЕНИЕ</w:t>
      </w:r>
    </w:p>
    <w:p>
      <w:r>
        <w:rPr>
          <w:rFonts w:ascii="Times New Roman" w:hAnsi="Times New Roman" w:cs="Times New Roman"/>
        </w:rPr>
        <w:t>Бизнес-план обосновывает вывод на рынок в контуре ПАО «Газпром автоматизация» интеллектуальной системы автоматизации технологических процессов подготовки нефти, газа и конденсата «Промысел-И». Мировой опыт — проекты «Ямал СПГ», «Шах-Дениз», Aasta Hansteen и Абкайк — показывает, что ценность создаётся связкой надёжной РСУ и ПАЗ, цифровых моделей и сервиса. Компания уже обладает первым элементом этой связки и лидирует на российском рынке АСУ ТП; проект добавляет недостающие интеллектуальные модули.</w:t>
      </w:r>
    </w:p>
    <w:p>
      <w:r>
        <w:rPr>
          <w:rFonts w:ascii="Times New Roman" w:hAnsi="Times New Roman" w:cs="Times New Roman"/>
        </w:rPr>
        <w:t>При инвестициях 480 млн руб. в 2027–2028 годах проект обеспечивает NPV 374 млн руб., IRR 34,9% и дисконтированную окупаемость 5,6 года. Пилот на УКПГ-2 Ковыктинского ГКМ позволит подтвердить эффекты на объекте, где сходятся низкотемпературная сепарация, стабилизация конденсата и регенерация метанола, и сформировать референс для тиражирования на объекты Группы Газпром и нефтяных компаний.</w:t>
      </w:r>
    </w:p>
    <w:p>
      <w:pPr>
        <w:keepNext/>
        <w:pageBreakBefore/>
        <w:spacing w:before="0"/>
      </w:pPr>
      <w:r>
        <w:rPr>
          <w:rFonts w:ascii="Times New Roman" w:hAnsi="Times New Roman" w:cs="Times New Roman"/>
          <w:b/>
        </w:rPr>
        <w:t>СПИСОК ИСПОЛЬЗОВАННЫХ ИСТОЧНИКОВ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[1] Газстройпром. «Газпром автоматизация» получила статус ИТ-компании. https://gsprom.ru/en/media/news/korporativnye-novosti/gazprom-avtomatizatsiya-poluchila-status-it-kompanii/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[2] ПАО «Газпром автоматизация». О компании. https://gpa.ru/about/company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[3] ПАО «Газпром автоматизация». Новость от 02.02.2023 о системах управления УКПГ-2 Ковыктинского ГКМ. https://gpa.ru/news/news7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[4] TAdviser. Газпром автоматизация (Газавтоматика). https://www.tadviser.ru/index.php/Компания:Газпром_автоматизация_(Газавтоматика)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[5] INRESEARCH. Анализ рынка промышленной автоматизации (АСУ ТП). https://inresearch.ru/350/50/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[6] СТА. Российская АСУ ТП: реальные внедрения есть (SMART OIL &amp; GAS, 2026). https://www.cta.ru/articles/online/183885/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[7] Mordor Intelligence. Oil and Gas Automation Market. https://www.mordorintelligence.com/industry-reports/oil-and-gas-automation-market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[8] Yokogawa. Control system order for Yamal LNG. https://www.yokogawa.com/eu/news/press-releases/2014/2014-01-07/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[9] Offshore Technology. BP awards Emerson contract for Shah Deniz Stage 2. https://www.offshore-technology.com/news/newsbp-awards-emerson-contract-for-shah-deniz-stage-2-project-azerbaijan-4431487/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[10] Emerson. First Caspian subsea project ahead of schedule, under budget. https://www.emerson.com/en-us/news/automation/1907-bp-shah-deniz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[11] Emerson. Emerson to automate BP-operated Shah Deniz Compression project (2026). https://www.emerson.com/en/corporate/news/2026/emerson-to-automate-bp-operated-shah-deniz-compression-project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[12] ABB. Automation brings safety and sustainability for oil and gas. https://library.e.abb.com/public/1a20dfdc0f3d45028971d37459f99815/32-37%20m0064_EN_72dpi.pdf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[13] Aramco. How 70-year-old Abqaiq Plants transformed to become a 4IR leader. https://americas.aramco.com/en/news-media/elements-magazine/2023/how-70-year-old-abqaiq-plants-transformed-to-become-a-4ir-leader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[14] ООО «Газпром добыча Иркутск». Корпоративный журнал № 3, 2023. https://irkutsk-dobycha.gazprom.ru/d/journal/36/54/ig2023n03_v12(web)-2.pdf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[15] Википедия. Ковыктинское газоконденсатное месторождение. https://ru.wikipedia.org/wiki/Ковыктинское_газоконденсатное_месторождение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[16] Neftegaz.RU. Новый этап развития: записки о Ковыктинском месторождении. https://neftegaz.ru/news/Geological-exploration/483109-novyy-etap-razvitiya-zapiski-vpechatlitelnoy-zhurnalistki-neftegaz-ru-o-kovyktinskom-mestorozhdenii/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[17] КиберЛенинка. Технологические особенности стабилизации газового конденсата на месторождениях Восточной Сибири и Дальнего Востока. https://cyberleninka.ru/article/n/tehnologicheskie-osobennosti-stabilizatsii-gazovogo-kondensata-na-gazokondensatnyh-mestorozhdeniyah-vostochnoy-sibiri-i-dalnego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[18] Банк России. Ключевая ставка. https://cbr.ru/press/keypr/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[19] КиберЛенинка. Современные системы автоматизации в газодобывающей промышленности на примере УКПГ. https://cyberleninka.ru/article/n/sovremennye-sistemy-avtomatizatsii-v-gazodobyvayuschey-promyshlennosti-na-primere-ukpg</w:t>
      </w:r>
    </w:p>
    <w:p>
      <w:pPr>
        <w:spacing w:after="40" w:line="240" w:lineRule="auto"/>
        <w:ind w:firstLine="0"/>
        <w:jc w:val="left"/>
      </w:pPr>
      <w:r>
        <w:rPr>
          <w:rFonts w:ascii="Times New Roman" w:hAnsi="Times New Roman" w:cs="Times New Roman"/>
          <w:sz w:val="22"/>
        </w:rPr>
        <w:t>[20] КиберЛенинка. Оптимизация ингибирования метанолом в магистральной системе транспорта газа на этапе подготовки. https://cyberleninka.ru/article/n/optimizatsiya-ingibirovaniya-metanolom-v-magistralnoy-sisteme-transporta-gaza-na-etape-podgotovki</w:t>
      </w:r>
    </w:p>
    <w:sectPr w:rsidR="00A1140E" w:rsidRPr="00FA78F1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D74D9"/>
    <w:multiLevelType w:val="multilevel"/>
    <w:tmpl w:val="09B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19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98"/>
    <w:rsid w:val="00052798"/>
    <w:rsid w:val="00115267"/>
    <w:rsid w:val="00314394"/>
    <w:rsid w:val="00370B14"/>
    <w:rsid w:val="00633102"/>
    <w:rsid w:val="008347D4"/>
    <w:rsid w:val="0086071E"/>
    <w:rsid w:val="00914887"/>
    <w:rsid w:val="00917DCA"/>
    <w:rsid w:val="009F0639"/>
    <w:rsid w:val="00A1140E"/>
    <w:rsid w:val="00B505B8"/>
    <w:rsid w:val="00BF2818"/>
    <w:rsid w:val="00D17D84"/>
    <w:rsid w:val="00E3567F"/>
    <w:rsid w:val="00F830E6"/>
    <w:rsid w:val="00F84F18"/>
    <w:rsid w:val="00FA78F1"/>
    <w:rsid w:val="00FC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99D1F"/>
  <w15:chartTrackingRefBased/>
  <w15:docId w15:val="{9DC40E73-F8B1-4EB9-9685-5BD3D5E0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798"/>
    <w:pPr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79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7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D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D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35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FA78F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53414-B732-4651-AD0B-39ADE3260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20</Pages>
  <Words>5642</Words>
  <Characters>32166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Mehanikov</dc:creator>
  <cp:keywords/>
  <dc:description/>
  <cp:lastModifiedBy>Nestor Mehanikov</cp:lastModifiedBy>
  <cp:revision>5</cp:revision>
  <dcterms:created xsi:type="dcterms:W3CDTF">2026-10-12T09:22:00Z</dcterms:created>
  <dcterms:modified xsi:type="dcterms:W3CDTF">2026-10-26T05:52:00Z</dcterms:modified>
</cp:coreProperties>
</file>